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media/image3.png" ContentType="image/png"/>
  <Override PartName="/word/media/image2.jpeg" ContentType="image/jpeg"/>
  <Override PartName="/word/media/image4.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numPr>
          <w:ilvl w:val="0"/>
          <w:numId w:val="2"/>
        </w:numPr>
        <w:rPr>
          <w:rFonts w:ascii="Arial" w:hAnsi="Arial" w:cs="Arial"/>
          <w:b/>
          <w:bCs/>
          <w:sz w:val="28"/>
          <w:szCs w:val="28"/>
        </w:rPr>
      </w:pPr>
      <w:r>
        <mc:AlternateContent>
          <mc:Choice Requires="wps">
            <w:drawing>
              <wp:anchor behindDoc="0" distT="0" distB="0" distL="82550" distR="89535" simplePos="0" locked="0" layoutInCell="0" allowOverlap="1" relativeHeight="2">
                <wp:simplePos x="0" y="0"/>
                <wp:positionH relativeFrom="margin">
                  <wp:align>center</wp:align>
                </wp:positionH>
                <wp:positionV relativeFrom="paragraph">
                  <wp:posOffset>-113030</wp:posOffset>
                </wp:positionV>
                <wp:extent cx="6351905" cy="908685"/>
                <wp:effectExtent l="0" t="0" r="0" b="0"/>
                <wp:wrapSquare wrapText="bothSides"/>
                <wp:docPr id="1" name="Cornice1"/>
                <a:graphic xmlns:a="http://schemas.openxmlformats.org/drawingml/2006/main">
                  <a:graphicData uri="http://schemas.microsoft.com/office/word/2010/wordprocessingShape">
                    <wps:wsp>
                      <wps:cNvSpPr/>
                      <wps:spPr>
                        <a:xfrm>
                          <a:off x="0" y="0"/>
                          <a:ext cx="6351840" cy="908640"/>
                        </a:xfrm>
                        <a:prstGeom prst="rect">
                          <a:avLst/>
                        </a:prstGeom>
                        <a:solidFill>
                          <a:srgbClr val="ffffff"/>
                        </a:solidFill>
                        <a:ln w="0">
                          <a:noFill/>
                        </a:ln>
                      </wps:spPr>
                      <wps:style>
                        <a:lnRef idx="0"/>
                        <a:fillRef idx="0"/>
                        <a:effectRef idx="0"/>
                        <a:fontRef idx="minor"/>
                      </wps:style>
                      <wps:txbx>
                        <w:txbxContent>
                          <w:tbl>
                            <w:tblPr>
                              <w:tblW w:w="10010" w:type="dxa"/>
                              <w:jc w:val="left"/>
                              <w:tblInd w:w="0" w:type="dxa"/>
                              <w:tblLayout w:type="fixed"/>
                              <w:tblCellMar>
                                <w:top w:w="0" w:type="dxa"/>
                                <w:left w:w="70" w:type="dxa"/>
                                <w:bottom w:w="0" w:type="dxa"/>
                                <w:right w:w="70" w:type="dxa"/>
                              </w:tblCellMar>
                            </w:tblPr>
                            <w:tblGrid>
                              <w:gridCol w:w="3320"/>
                              <w:gridCol w:w="3693"/>
                              <w:gridCol w:w="2997"/>
                            </w:tblGrid>
                            <w:tr>
                              <w:trPr>
                                <w:trHeight w:val="1438" w:hRule="atLeast"/>
                              </w:trPr>
                              <w:tc>
                                <w:tcPr>
                                  <w:tcW w:w="3320" w:type="dxa"/>
                                  <w:tcBorders/>
                                </w:tcPr>
                                <w:p>
                                  <w:pPr>
                                    <w:pStyle w:val="Contenutocornice"/>
                                    <w:widowControl w:val="false"/>
                                    <w:spacing w:before="0" w:after="160"/>
                                    <w:rPr/>
                                  </w:pPr>
                                  <w:r>
                                    <w:rPr/>
                                    <w:drawing>
                                      <wp:inline distT="0" distB="0" distL="0" distR="0">
                                        <wp:extent cx="1233170" cy="847725"/>
                                        <wp:effectExtent l="0" t="0" r="0" b="0"/>
                                        <wp:docPr id="3" name="Immagin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1" descr=""/>
                                                <pic:cNvPicPr>
                                                  <a:picLocks noChangeAspect="1" noChangeArrowheads="1"/>
                                                </pic:cNvPicPr>
                                              </pic:nvPicPr>
                                              <pic:blipFill>
                                                <a:blip r:embed="rId2"/>
                                                <a:srcRect l="-230" t="-337" r="-230" b="-337"/>
                                                <a:stretch>
                                                  <a:fillRect/>
                                                </a:stretch>
                                              </pic:blipFill>
                                              <pic:spPr bwMode="auto">
                                                <a:xfrm>
                                                  <a:off x="0" y="0"/>
                                                  <a:ext cx="1233170" cy="847725"/>
                                                </a:xfrm>
                                                <a:prstGeom prst="rect">
                                                  <a:avLst/>
                                                </a:prstGeom>
                                              </pic:spPr>
                                            </pic:pic>
                                          </a:graphicData>
                                        </a:graphic>
                                      </wp:inline>
                                    </w:drawing>
                                  </w:r>
                                </w:p>
                              </w:tc>
                              <w:tc>
                                <w:tcPr>
                                  <w:tcW w:w="3693" w:type="dxa"/>
                                  <w:tcBorders/>
                                </w:tcPr>
                                <w:p>
                                  <w:pPr>
                                    <w:pStyle w:val="Contenutocornice"/>
                                    <w:widowControl w:val="false"/>
                                    <w:snapToGrid w:val="false"/>
                                    <w:jc w:val="right"/>
                                    <w:rPr>
                                      <w:sz w:val="8"/>
                                    </w:rPr>
                                  </w:pPr>
                                  <w:r>
                                    <w:rPr>
                                      <w:sz w:val="8"/>
                                    </w:rPr>
                                  </w:r>
                                </w:p>
                                <w:p>
                                  <w:pPr>
                                    <w:pStyle w:val="Contenutocornice"/>
                                    <w:widowControl w:val="false"/>
                                    <w:spacing w:before="0" w:after="160"/>
                                    <w:jc w:val="right"/>
                                    <w:rPr/>
                                  </w:pPr>
                                  <w:r>
                                    <w:rPr/>
                                    <w:drawing>
                                      <wp:inline distT="0" distB="0" distL="0" distR="0">
                                        <wp:extent cx="2276475" cy="712470"/>
                                        <wp:effectExtent l="0" t="0" r="0" b="0"/>
                                        <wp:docPr id="4" name="Immagin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2" descr=""/>
                                                <pic:cNvPicPr>
                                                  <a:picLocks noChangeAspect="1" noChangeArrowheads="1"/>
                                                </pic:cNvPicPr>
                                              </pic:nvPicPr>
                                              <pic:blipFill>
                                                <a:blip r:embed="rId3"/>
                                                <a:srcRect l="-196" t="-613" r="-196" b="-613"/>
                                                <a:stretch>
                                                  <a:fillRect/>
                                                </a:stretch>
                                              </pic:blipFill>
                                              <pic:spPr bwMode="auto">
                                                <a:xfrm>
                                                  <a:off x="0" y="0"/>
                                                  <a:ext cx="2276475" cy="712470"/>
                                                </a:xfrm>
                                                <a:prstGeom prst="rect">
                                                  <a:avLst/>
                                                </a:prstGeom>
                                              </pic:spPr>
                                            </pic:pic>
                                          </a:graphicData>
                                        </a:graphic>
                                      </wp:inline>
                                    </w:drawing>
                                  </w:r>
                                </w:p>
                              </w:tc>
                              <w:tc>
                                <w:tcPr>
                                  <w:tcW w:w="2997" w:type="dxa"/>
                                  <w:tcBorders/>
                                </w:tcPr>
                                <w:p>
                                  <w:pPr>
                                    <w:pStyle w:val="Contenutocornice"/>
                                    <w:widowControl w:val="false"/>
                                    <w:spacing w:before="0" w:after="160"/>
                                    <w:jc w:val="right"/>
                                    <w:rPr/>
                                  </w:pPr>
                                  <w:r>
                                    <w:rPr/>
                                    <w:drawing>
                                      <wp:inline distT="0" distB="0" distL="0" distR="0">
                                        <wp:extent cx="1130300" cy="797560"/>
                                        <wp:effectExtent l="0" t="0" r="0" b="0"/>
                                        <wp:docPr id="5" name="Immagin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3" descr=""/>
                                                <pic:cNvPicPr>
                                                  <a:picLocks noChangeAspect="1" noChangeArrowheads="1"/>
                                                </pic:cNvPicPr>
                                              </pic:nvPicPr>
                                              <pic:blipFill>
                                                <a:blip r:embed="rId4"/>
                                                <a:srcRect l="-33680" t="-136" r="-33702" b="-136"/>
                                                <a:stretch>
                                                  <a:fillRect/>
                                                </a:stretch>
                                              </pic:blipFill>
                                              <pic:spPr bwMode="auto">
                                                <a:xfrm>
                                                  <a:off x="0" y="0"/>
                                                  <a:ext cx="1130300" cy="797560"/>
                                                </a:xfrm>
                                                <a:prstGeom prst="rect">
                                                  <a:avLst/>
                                                </a:prstGeom>
                                              </pic:spPr>
                                            </pic:pic>
                                          </a:graphicData>
                                        </a:graphic>
                                      </wp:inline>
                                    </w:drawing>
                                  </w:r>
                                </w:p>
                              </w:tc>
                            </w:tr>
                          </w:tbl>
                          <w:p>
                            <w:pPr>
                              <w:pStyle w:val="Contenutocornice"/>
                              <w:spacing w:before="0" w:after="160"/>
                              <w:rPr/>
                            </w:pPr>
                            <w:r>
                              <w:rPr>
                                <w:color w:val="000000"/>
                              </w:rPr>
                              <w:t xml:space="preserve"> </w:t>
                            </w:r>
                          </w:p>
                        </w:txbxContent>
                      </wps:txbx>
                      <wps:bodyPr lIns="3960" rIns="3960" tIns="3960" bIns="3960" anchor="t">
                        <a:noAutofit/>
                      </wps:bodyPr>
                    </wps:wsp>
                  </a:graphicData>
                </a:graphic>
              </wp:anchor>
            </w:drawing>
          </mc:Choice>
          <mc:Fallback>
            <w:pict>
              <v:rect id="shape_0" ID="Cornice1" path="m0,0l-2147483645,0l-2147483645,-2147483646l0,-2147483646xe" fillcolor="white" stroked="f" o:allowincell="f" style="position:absolute;margin-left:-9.15pt;margin-top:-8.9pt;width:500.1pt;height:71.5pt;mso-wrap-style:square;v-text-anchor:top;mso-position-horizontal:center;mso-position-horizontal-relative:margin">
                <v:fill o:detectmouseclick="t" type="solid" color2="black"/>
                <v:stroke color="#3465a4" joinstyle="round" endcap="flat"/>
                <v:textbox>
                  <w:txbxContent>
                    <w:tbl>
                      <w:tblPr>
                        <w:tblW w:w="10010" w:type="dxa"/>
                        <w:jc w:val="left"/>
                        <w:tblInd w:w="0" w:type="dxa"/>
                        <w:tblLayout w:type="fixed"/>
                        <w:tblCellMar>
                          <w:top w:w="0" w:type="dxa"/>
                          <w:left w:w="70" w:type="dxa"/>
                          <w:bottom w:w="0" w:type="dxa"/>
                          <w:right w:w="70" w:type="dxa"/>
                        </w:tblCellMar>
                      </w:tblPr>
                      <w:tblGrid>
                        <w:gridCol w:w="3320"/>
                        <w:gridCol w:w="3693"/>
                        <w:gridCol w:w="2997"/>
                      </w:tblGrid>
                      <w:tr>
                        <w:trPr>
                          <w:trHeight w:val="1438" w:hRule="atLeast"/>
                        </w:trPr>
                        <w:tc>
                          <w:tcPr>
                            <w:tcW w:w="3320" w:type="dxa"/>
                            <w:tcBorders/>
                          </w:tcPr>
                          <w:p>
                            <w:pPr>
                              <w:pStyle w:val="Contenutocornice"/>
                              <w:widowControl w:val="false"/>
                              <w:spacing w:before="0" w:after="160"/>
                              <w:rPr/>
                            </w:pPr>
                            <w:r>
                              <w:rPr/>
                              <w:drawing>
                                <wp:inline distT="0" distB="0" distL="0" distR="0">
                                  <wp:extent cx="1233170" cy="847725"/>
                                  <wp:effectExtent l="0" t="0" r="0" b="0"/>
                                  <wp:docPr id="6" name="Immagin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1" descr=""/>
                                          <pic:cNvPicPr>
                                            <a:picLocks noChangeAspect="1" noChangeArrowheads="1"/>
                                          </pic:cNvPicPr>
                                        </pic:nvPicPr>
                                        <pic:blipFill>
                                          <a:blip r:embed="rId5"/>
                                          <a:srcRect l="-230" t="-337" r="-230" b="-337"/>
                                          <a:stretch>
                                            <a:fillRect/>
                                          </a:stretch>
                                        </pic:blipFill>
                                        <pic:spPr bwMode="auto">
                                          <a:xfrm>
                                            <a:off x="0" y="0"/>
                                            <a:ext cx="1233170" cy="847725"/>
                                          </a:xfrm>
                                          <a:prstGeom prst="rect">
                                            <a:avLst/>
                                          </a:prstGeom>
                                        </pic:spPr>
                                      </pic:pic>
                                    </a:graphicData>
                                  </a:graphic>
                                </wp:inline>
                              </w:drawing>
                            </w:r>
                          </w:p>
                        </w:tc>
                        <w:tc>
                          <w:tcPr>
                            <w:tcW w:w="3693" w:type="dxa"/>
                            <w:tcBorders/>
                          </w:tcPr>
                          <w:p>
                            <w:pPr>
                              <w:pStyle w:val="Contenutocornice"/>
                              <w:widowControl w:val="false"/>
                              <w:snapToGrid w:val="false"/>
                              <w:jc w:val="right"/>
                              <w:rPr>
                                <w:sz w:val="8"/>
                              </w:rPr>
                            </w:pPr>
                            <w:r>
                              <w:rPr>
                                <w:sz w:val="8"/>
                              </w:rPr>
                            </w:r>
                          </w:p>
                          <w:p>
                            <w:pPr>
                              <w:pStyle w:val="Contenutocornice"/>
                              <w:widowControl w:val="false"/>
                              <w:spacing w:before="0" w:after="160"/>
                              <w:jc w:val="right"/>
                              <w:rPr/>
                            </w:pPr>
                            <w:r>
                              <w:rPr/>
                              <w:drawing>
                                <wp:inline distT="0" distB="0" distL="0" distR="0">
                                  <wp:extent cx="2276475" cy="712470"/>
                                  <wp:effectExtent l="0" t="0" r="0" b="0"/>
                                  <wp:docPr id="7" name="Immagin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2" descr=""/>
                                          <pic:cNvPicPr>
                                            <a:picLocks noChangeAspect="1" noChangeArrowheads="1"/>
                                          </pic:cNvPicPr>
                                        </pic:nvPicPr>
                                        <pic:blipFill>
                                          <a:blip r:embed="rId6"/>
                                          <a:srcRect l="-196" t="-613" r="-196" b="-613"/>
                                          <a:stretch>
                                            <a:fillRect/>
                                          </a:stretch>
                                        </pic:blipFill>
                                        <pic:spPr bwMode="auto">
                                          <a:xfrm>
                                            <a:off x="0" y="0"/>
                                            <a:ext cx="2276475" cy="712470"/>
                                          </a:xfrm>
                                          <a:prstGeom prst="rect">
                                            <a:avLst/>
                                          </a:prstGeom>
                                        </pic:spPr>
                                      </pic:pic>
                                    </a:graphicData>
                                  </a:graphic>
                                </wp:inline>
                              </w:drawing>
                            </w:r>
                          </w:p>
                        </w:tc>
                        <w:tc>
                          <w:tcPr>
                            <w:tcW w:w="2997" w:type="dxa"/>
                            <w:tcBorders/>
                          </w:tcPr>
                          <w:p>
                            <w:pPr>
                              <w:pStyle w:val="Contenutocornice"/>
                              <w:widowControl w:val="false"/>
                              <w:spacing w:before="0" w:after="160"/>
                              <w:jc w:val="right"/>
                              <w:rPr/>
                            </w:pPr>
                            <w:r>
                              <w:rPr/>
                              <w:drawing>
                                <wp:inline distT="0" distB="0" distL="0" distR="0">
                                  <wp:extent cx="1130300" cy="797560"/>
                                  <wp:effectExtent l="0" t="0" r="0" b="0"/>
                                  <wp:docPr id="8" name="Immagin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3" descr=""/>
                                          <pic:cNvPicPr>
                                            <a:picLocks noChangeAspect="1" noChangeArrowheads="1"/>
                                          </pic:cNvPicPr>
                                        </pic:nvPicPr>
                                        <pic:blipFill>
                                          <a:blip r:embed="rId7"/>
                                          <a:srcRect l="-33680" t="-136" r="-33702" b="-136"/>
                                          <a:stretch>
                                            <a:fillRect/>
                                          </a:stretch>
                                        </pic:blipFill>
                                        <pic:spPr bwMode="auto">
                                          <a:xfrm>
                                            <a:off x="0" y="0"/>
                                            <a:ext cx="1130300" cy="797560"/>
                                          </a:xfrm>
                                          <a:prstGeom prst="rect">
                                            <a:avLst/>
                                          </a:prstGeom>
                                        </pic:spPr>
                                      </pic:pic>
                                    </a:graphicData>
                                  </a:graphic>
                                </wp:inline>
                              </w:drawing>
                            </w:r>
                          </w:p>
                        </w:tc>
                      </w:tr>
                    </w:tbl>
                    <w:p>
                      <w:pPr>
                        <w:pStyle w:val="Contenutocornice"/>
                        <w:spacing w:before="0" w:after="160"/>
                        <w:rPr/>
                      </w:pPr>
                      <w:r>
                        <w:rPr>
                          <w:color w:val="000000"/>
                        </w:rPr>
                        <w:t xml:space="preserve"> </w:t>
                      </w:r>
                    </w:p>
                  </w:txbxContent>
                </v:textbox>
                <w10:wrap type="square"/>
              </v:rect>
            </w:pict>
          </mc:Fallback>
        </mc:AlternateContent>
        <mc:AlternateContent>
          <mc:Choice Requires="wps">
            <w:drawing>
              <wp:anchor behindDoc="0" distT="0" distB="0" distL="108585" distR="114935" simplePos="0" locked="0" layoutInCell="0" allowOverlap="1" relativeHeight="4">
                <wp:simplePos x="0" y="0"/>
                <wp:positionH relativeFrom="column">
                  <wp:posOffset>2628900</wp:posOffset>
                </wp:positionH>
                <wp:positionV relativeFrom="paragraph">
                  <wp:posOffset>800100</wp:posOffset>
                </wp:positionV>
                <wp:extent cx="1824355" cy="2083435"/>
                <wp:effectExtent l="0" t="0" r="0" b="0"/>
                <wp:wrapSquare wrapText="bothSides"/>
                <wp:docPr id="2" name="Cornice2"/>
                <a:graphic xmlns:a="http://schemas.openxmlformats.org/drawingml/2006/main">
                  <a:graphicData uri="http://schemas.microsoft.com/office/word/2010/wordprocessingShape">
                    <wps:wsp>
                      <wps:cNvSpPr/>
                      <wps:spPr>
                        <a:xfrm>
                          <a:off x="0" y="0"/>
                          <a:ext cx="1824480" cy="2083320"/>
                        </a:xfrm>
                        <a:prstGeom prst="rect">
                          <a:avLst/>
                        </a:prstGeom>
                        <a:solidFill>
                          <a:srgbClr val="ffffff"/>
                        </a:solidFill>
                        <a:ln w="0">
                          <a:noFill/>
                        </a:ln>
                      </wps:spPr>
                      <wps:style>
                        <a:lnRef idx="0"/>
                        <a:fillRef idx="0"/>
                        <a:effectRef idx="0"/>
                        <a:fontRef idx="minor"/>
                      </wps:style>
                      <wps:txbx>
                        <w:txbxContent>
                          <w:p>
                            <w:pPr>
                              <w:pStyle w:val="Contenutocornice"/>
                              <w:spacing w:before="0" w:after="160"/>
                              <w:rPr>
                                <w:color w:val="000000"/>
                              </w:rPr>
                            </w:pPr>
                            <w:r>
                              <w:rPr>
                                <w:color w:val="000000"/>
                              </w:rPr>
                            </w:r>
                          </w:p>
                        </w:txbxContent>
                      </wps:txbx>
                      <wps:bodyPr lIns="3960" rIns="3960" tIns="3960" bIns="3960" anchor="t">
                        <a:noAutofit/>
                      </wps:bodyPr>
                    </wps:wsp>
                  </a:graphicData>
                </a:graphic>
              </wp:anchor>
            </w:drawing>
          </mc:Choice>
          <mc:Fallback>
            <w:pict>
              <v:rect id="shape_0" ID="Cornice2" path="m0,0l-2147483645,0l-2147483645,-2147483646l0,-2147483646xe" fillcolor="white" stroked="f" o:allowincell="f" style="position:absolute;margin-left:207pt;margin-top:63pt;width:143.6pt;height:164pt;mso-wrap-style:none;v-text-anchor:middle">
                <v:fill o:detectmouseclick="t" type="solid" color2="black"/>
                <v:stroke color="#3465a4" joinstyle="round" endcap="flat"/>
                <v:textbox>
                  <w:txbxContent>
                    <w:p>
                      <w:pPr>
                        <w:pStyle w:val="Contenutocornice"/>
                        <w:spacing w:before="0" w:after="160"/>
                        <w:rPr>
                          <w:color w:val="000000"/>
                        </w:rPr>
                      </w:pPr>
                      <w:r>
                        <w:rPr>
                          <w:color w:val="000000"/>
                        </w:rPr>
                      </w:r>
                    </w:p>
                  </w:txbxContent>
                </v:textbox>
                <w10:wrap type="square"/>
              </v:rect>
            </w:pict>
          </mc:Fallback>
        </mc:AlternateContent>
      </w:r>
      <w:r>
        <w:rPr>
          <w:rFonts w:cs="Arial" w:ascii="Arial" w:hAnsi="Arial"/>
          <w:b/>
          <w:bCs/>
          <w:sz w:val="28"/>
          <w:szCs w:val="28"/>
        </w:rPr>
        <w:tab/>
        <w:tab/>
      </w:r>
    </w:p>
    <w:p>
      <w:pPr>
        <w:pStyle w:val="Normal"/>
        <w:numPr>
          <w:ilvl w:val="0"/>
          <w:numId w:val="2"/>
        </w:numPr>
        <w:rPr>
          <w:rFonts w:ascii="Arial" w:hAnsi="Arial" w:cs="Arial"/>
          <w:b/>
          <w:bCs/>
          <w:sz w:val="28"/>
          <w:szCs w:val="28"/>
        </w:rPr>
      </w:pPr>
      <w:r>
        <w:rPr>
          <w:rFonts w:cs="Arial" w:ascii="Arial" w:hAnsi="Arial"/>
          <w:b/>
          <w:bCs/>
          <w:sz w:val="28"/>
          <w:szCs w:val="28"/>
        </w:rPr>
      </w:r>
    </w:p>
    <w:p>
      <w:pPr>
        <w:pStyle w:val="Normal"/>
        <w:numPr>
          <w:ilvl w:val="0"/>
          <w:numId w:val="2"/>
        </w:numPr>
        <w:jc w:val="center"/>
        <w:rPr>
          <w:rFonts w:ascii="Arial" w:hAnsi="Arial" w:cs="Arial"/>
          <w:b/>
          <w:bCs/>
          <w:sz w:val="28"/>
          <w:szCs w:val="28"/>
        </w:rPr>
      </w:pPr>
      <w:r>
        <w:rPr>
          <w:rFonts w:cs="Arial" w:ascii="Arial" w:hAnsi="Arial"/>
          <w:b/>
          <w:bCs/>
          <w:sz w:val="28"/>
          <w:szCs w:val="28"/>
        </w:rPr>
        <w:drawing>
          <wp:anchor behindDoc="0" distT="0" distB="0" distL="0" distR="0" simplePos="0" locked="0" layoutInCell="0" allowOverlap="1" relativeHeight="9">
            <wp:simplePos x="0" y="0"/>
            <wp:positionH relativeFrom="column">
              <wp:posOffset>2125345</wp:posOffset>
            </wp:positionH>
            <wp:positionV relativeFrom="paragraph">
              <wp:posOffset>-103505</wp:posOffset>
            </wp:positionV>
            <wp:extent cx="1791970" cy="1997075"/>
            <wp:effectExtent l="0" t="0" r="0" b="0"/>
            <wp:wrapSquare wrapText="bothSides"/>
            <wp:docPr id="3" name="Immagin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4" descr=""/>
                    <pic:cNvPicPr>
                      <a:picLocks noChangeAspect="1" noChangeArrowheads="1"/>
                    </pic:cNvPicPr>
                  </pic:nvPicPr>
                  <pic:blipFill>
                    <a:blip r:embed="rId8"/>
                    <a:srcRect l="-19" t="-17" r="-19" b="-17"/>
                    <a:stretch>
                      <a:fillRect/>
                    </a:stretch>
                  </pic:blipFill>
                  <pic:spPr bwMode="auto">
                    <a:xfrm>
                      <a:off x="0" y="0"/>
                      <a:ext cx="1791970" cy="1997075"/>
                    </a:xfrm>
                    <a:prstGeom prst="rect">
                      <a:avLst/>
                    </a:prstGeom>
                  </pic:spPr>
                </pic:pic>
              </a:graphicData>
            </a:graphic>
          </wp:anchor>
        </w:drawing>
      </w:r>
    </w:p>
    <w:p>
      <w:pPr>
        <w:pStyle w:val="Normal"/>
        <w:numPr>
          <w:ilvl w:val="0"/>
          <w:numId w:val="2"/>
        </w:numPr>
        <w:jc w:val="center"/>
        <w:rPr>
          <w:rFonts w:ascii="Arial" w:hAnsi="Arial" w:cs="Arial"/>
          <w:b/>
          <w:bCs/>
          <w:sz w:val="28"/>
          <w:szCs w:val="28"/>
        </w:rPr>
      </w:pPr>
      <w:r>
        <w:rPr>
          <w:rFonts w:cs="Arial" w:ascii="Arial" w:hAnsi="Arial"/>
          <w:b/>
          <w:bCs/>
          <w:sz w:val="28"/>
          <w:szCs w:val="28"/>
        </w:rPr>
      </w:r>
    </w:p>
    <w:p>
      <w:pPr>
        <w:pStyle w:val="Normal"/>
        <w:numPr>
          <w:ilvl w:val="0"/>
          <w:numId w:val="2"/>
        </w:numPr>
        <w:jc w:val="center"/>
        <w:rPr>
          <w:rFonts w:ascii="Arial" w:hAnsi="Arial" w:cs="Arial"/>
          <w:b/>
          <w:bCs/>
          <w:sz w:val="28"/>
          <w:szCs w:val="28"/>
        </w:rPr>
      </w:pPr>
      <w:r>
        <w:rPr>
          <w:rFonts w:cs="Arial" w:ascii="Arial" w:hAnsi="Arial"/>
          <w:b/>
          <w:bCs/>
          <w:sz w:val="28"/>
          <w:szCs w:val="28"/>
        </w:rPr>
      </w:r>
    </w:p>
    <w:p>
      <w:pPr>
        <w:pStyle w:val="Normal"/>
        <w:numPr>
          <w:ilvl w:val="0"/>
          <w:numId w:val="2"/>
        </w:numPr>
        <w:jc w:val="center"/>
        <w:rPr>
          <w:rFonts w:ascii="Arial" w:hAnsi="Arial" w:cs="Arial"/>
          <w:b/>
          <w:bCs/>
          <w:sz w:val="28"/>
          <w:szCs w:val="28"/>
        </w:rPr>
      </w:pPr>
      <w:r>
        <w:rPr>
          <w:rFonts w:cs="Arial" w:ascii="Arial" w:hAnsi="Arial"/>
          <w:b/>
          <w:bCs/>
          <w:sz w:val="28"/>
          <w:szCs w:val="28"/>
        </w:rPr>
      </w:r>
    </w:p>
    <w:p>
      <w:pPr>
        <w:pStyle w:val="Normal"/>
        <w:numPr>
          <w:ilvl w:val="0"/>
          <w:numId w:val="2"/>
        </w:numPr>
        <w:jc w:val="center"/>
        <w:rPr>
          <w:rFonts w:ascii="Arial" w:hAnsi="Arial" w:cs="Arial"/>
          <w:b/>
          <w:bCs/>
          <w:sz w:val="28"/>
          <w:szCs w:val="28"/>
        </w:rPr>
      </w:pPr>
      <w:r>
        <w:rPr>
          <w:rFonts w:cs="Arial" w:ascii="Arial" w:hAnsi="Arial"/>
          <w:b/>
          <w:bCs/>
          <w:sz w:val="28"/>
          <w:szCs w:val="28"/>
        </w:rPr>
      </w:r>
    </w:p>
    <w:p>
      <w:pPr>
        <w:pStyle w:val="Normal"/>
        <w:numPr>
          <w:ilvl w:val="0"/>
          <w:numId w:val="2"/>
        </w:numPr>
        <w:jc w:val="center"/>
        <w:rPr>
          <w:b/>
          <w:bCs/>
          <w:sz w:val="28"/>
          <w:szCs w:val="28"/>
        </w:rPr>
      </w:pPr>
      <w:r>
        <w:rPr>
          <w:b/>
          <w:bCs/>
          <w:sz w:val="28"/>
          <w:szCs w:val="28"/>
        </w:rPr>
      </w:r>
    </w:p>
    <w:p>
      <w:pPr>
        <w:pStyle w:val="Normal"/>
        <w:numPr>
          <w:ilvl w:val="0"/>
          <w:numId w:val="2"/>
        </w:numPr>
        <w:jc w:val="center"/>
        <w:rPr>
          <w:b/>
          <w:bCs/>
          <w:sz w:val="28"/>
          <w:szCs w:val="28"/>
        </w:rPr>
      </w:pPr>
      <w:r>
        <w:rPr>
          <w:b/>
          <w:bCs/>
          <w:sz w:val="28"/>
          <w:szCs w:val="28"/>
        </w:rPr>
      </w:r>
    </w:p>
    <w:p>
      <w:pPr>
        <w:pStyle w:val="Normal"/>
        <w:numPr>
          <w:ilvl w:val="0"/>
          <w:numId w:val="2"/>
        </w:numPr>
        <w:jc w:val="center"/>
        <w:rPr>
          <w:b/>
          <w:bCs/>
          <w:sz w:val="28"/>
          <w:szCs w:val="28"/>
        </w:rPr>
      </w:pPr>
      <w:r>
        <w:rPr>
          <w:b/>
          <w:bCs/>
          <w:sz w:val="28"/>
          <w:szCs w:val="28"/>
        </w:rPr>
        <w:t xml:space="preserve">PROPOSTA DI MODIFICHE AL </w:t>
      </w:r>
    </w:p>
    <w:p>
      <w:pPr>
        <w:pStyle w:val="Normal"/>
        <w:numPr>
          <w:ilvl w:val="0"/>
          <w:numId w:val="2"/>
        </w:numPr>
        <w:jc w:val="center"/>
        <w:rPr>
          <w:b/>
          <w:bCs/>
          <w:sz w:val="28"/>
          <w:szCs w:val="28"/>
        </w:rPr>
      </w:pPr>
      <w:r>
        <w:rPr>
          <w:b/>
          <w:bCs/>
          <w:sz w:val="28"/>
          <w:szCs w:val="28"/>
        </w:rPr>
        <w:t>PROGRAMMA DI SVILUPPO RURALE 2014 - 2022</w:t>
      </w:r>
    </w:p>
    <w:p>
      <w:pPr>
        <w:pStyle w:val="Normal"/>
        <w:numPr>
          <w:ilvl w:val="0"/>
          <w:numId w:val="2"/>
        </w:numPr>
        <w:jc w:val="center"/>
        <w:rPr>
          <w:b/>
          <w:bCs/>
          <w:color w:val="FF0000"/>
          <w:sz w:val="28"/>
          <w:szCs w:val="28"/>
        </w:rPr>
      </w:pPr>
      <w:r>
        <w:rPr>
          <w:b/>
          <w:bCs/>
          <w:color w:val="FF0000"/>
          <w:sz w:val="28"/>
          <w:szCs w:val="28"/>
        </w:rPr>
      </w:r>
    </w:p>
    <w:p>
      <w:pPr>
        <w:pStyle w:val="Normal"/>
        <w:numPr>
          <w:ilvl w:val="0"/>
          <w:numId w:val="2"/>
        </w:numPr>
        <w:jc w:val="center"/>
        <w:rPr>
          <w:b/>
          <w:bCs/>
          <w:color w:val="FF0000"/>
          <w:sz w:val="28"/>
          <w:szCs w:val="28"/>
        </w:rPr>
      </w:pPr>
      <w:r>
        <w:rPr>
          <w:b/>
          <w:bCs/>
          <w:color w:val="FF0000"/>
          <w:sz w:val="28"/>
          <w:szCs w:val="28"/>
        </w:rPr>
      </w:r>
    </w:p>
    <w:p>
      <w:pPr>
        <w:pStyle w:val="Normal"/>
        <w:numPr>
          <w:ilvl w:val="0"/>
          <w:numId w:val="2"/>
        </w:numPr>
        <w:rPr>
          <w:b/>
          <w:bCs/>
          <w:color w:val="FF0000"/>
          <w:sz w:val="28"/>
          <w:szCs w:val="28"/>
        </w:rPr>
      </w:pPr>
      <w:r>
        <w:rPr>
          <w:b/>
          <w:bCs/>
          <w:color w:val="FF0000"/>
          <w:sz w:val="28"/>
          <w:szCs w:val="28"/>
        </w:rPr>
      </w:r>
    </w:p>
    <w:p>
      <w:pPr>
        <w:pStyle w:val="Normal"/>
        <w:numPr>
          <w:ilvl w:val="0"/>
          <w:numId w:val="2"/>
        </w:numPr>
        <w:rPr/>
      </w:pPr>
      <w:r>
        <w:rPr>
          <w:sz w:val="28"/>
          <w:szCs w:val="28"/>
        </w:rPr>
        <w:t xml:space="preserve">STATO MEMBRO: </w:t>
        <w:tab/>
        <w:tab/>
      </w:r>
      <w:r>
        <w:rPr>
          <w:b/>
          <w:bCs/>
          <w:sz w:val="28"/>
          <w:szCs w:val="28"/>
        </w:rPr>
        <w:t>ITALIA</w:t>
      </w:r>
    </w:p>
    <w:p>
      <w:pPr>
        <w:pStyle w:val="Normal"/>
        <w:numPr>
          <w:ilvl w:val="0"/>
          <w:numId w:val="2"/>
        </w:numPr>
        <w:rPr>
          <w:sz w:val="28"/>
          <w:szCs w:val="28"/>
        </w:rPr>
      </w:pPr>
      <w:r>
        <w:rPr>
          <w:sz w:val="28"/>
          <w:szCs w:val="28"/>
        </w:rPr>
        <w:tab/>
        <w:tab/>
        <w:tab/>
        <w:tab/>
      </w:r>
    </w:p>
    <w:p>
      <w:pPr>
        <w:pStyle w:val="Normal"/>
        <w:numPr>
          <w:ilvl w:val="0"/>
          <w:numId w:val="2"/>
        </w:numPr>
        <w:rPr/>
      </w:pPr>
      <w:r>
        <w:rPr>
          <w:sz w:val="28"/>
          <w:szCs w:val="28"/>
        </w:rPr>
        <w:t>REGIONE:</w:t>
        <w:tab/>
        <w:tab/>
        <w:tab/>
      </w:r>
      <w:r>
        <w:rPr>
          <w:b/>
          <w:bCs/>
          <w:sz w:val="28"/>
          <w:szCs w:val="28"/>
        </w:rPr>
        <w:t>PIEMONTE</w:t>
      </w:r>
    </w:p>
    <w:p>
      <w:pPr>
        <w:pStyle w:val="Normal"/>
        <w:numPr>
          <w:ilvl w:val="0"/>
          <w:numId w:val="2"/>
        </w:numPr>
        <w:rPr>
          <w:sz w:val="28"/>
          <w:szCs w:val="28"/>
        </w:rPr>
      </w:pPr>
      <w:r>
        <w:rPr>
          <w:sz w:val="28"/>
          <w:szCs w:val="28"/>
        </w:rPr>
      </w:r>
    </w:p>
    <w:p>
      <w:pPr>
        <w:pStyle w:val="Normal"/>
        <w:numPr>
          <w:ilvl w:val="0"/>
          <w:numId w:val="2"/>
        </w:numPr>
        <w:rPr>
          <w:b/>
          <w:bCs/>
          <w:sz w:val="28"/>
          <w:szCs w:val="28"/>
        </w:rPr>
      </w:pPr>
      <w:r>
        <w:rPr>
          <w:b/>
          <w:bCs/>
          <w:sz w:val="28"/>
          <w:szCs w:val="28"/>
        </w:rPr>
      </w:r>
    </w:p>
    <w:p>
      <w:pPr>
        <w:pStyle w:val="Normal"/>
        <w:numPr>
          <w:ilvl w:val="0"/>
          <w:numId w:val="2"/>
        </w:numPr>
        <w:ind w:hanging="2832" w:left="2832" w:right="0"/>
        <w:jc w:val="center"/>
        <w:rPr/>
      </w:pPr>
      <w:r>
        <w:rPr>
          <w:sz w:val="28"/>
          <w:szCs w:val="28"/>
        </w:rPr>
        <w:t xml:space="preserve">Programma: </w:t>
        <w:tab/>
      </w:r>
      <w:r>
        <w:rPr>
          <w:b/>
          <w:bCs/>
          <w:sz w:val="28"/>
          <w:szCs w:val="28"/>
        </w:rPr>
        <w:t>Programma di Sviluppo Rurale 2014-2020 della Regione Piemonte C(2015)7456 del 28/10/2015</w:t>
      </w:r>
    </w:p>
    <w:p>
      <w:pPr>
        <w:pStyle w:val="Normal"/>
        <w:numPr>
          <w:ilvl w:val="0"/>
          <w:numId w:val="2"/>
        </w:numPr>
        <w:jc w:val="center"/>
        <w:rPr>
          <w:rFonts w:ascii="Calibri-Bold" w:hAnsi="Calibri-Bold" w:cs="Calibri"/>
          <w:b/>
          <w:bCs/>
          <w:sz w:val="24"/>
          <w:szCs w:val="24"/>
          <w:u w:val="single"/>
        </w:rPr>
      </w:pPr>
      <w:r>
        <w:rPr>
          <w:rFonts w:cs="Calibri" w:ascii="Calibri-Bold" w:hAnsi="Calibri-Bold"/>
          <w:b/>
          <w:bCs/>
          <w:sz w:val="24"/>
          <w:szCs w:val="24"/>
          <w:u w:val="single"/>
        </w:rPr>
      </w:r>
    </w:p>
    <w:p>
      <w:pPr>
        <w:pStyle w:val="Normal"/>
        <w:numPr>
          <w:ilvl w:val="0"/>
          <w:numId w:val="2"/>
        </w:numPr>
        <w:jc w:val="center"/>
        <w:rPr>
          <w:rFonts w:ascii="Calibri-Bold" w:hAnsi="Calibri-Bold" w:cs="Calibri"/>
          <w:b/>
          <w:bCs/>
          <w:sz w:val="24"/>
          <w:szCs w:val="24"/>
          <w:u w:val="single"/>
        </w:rPr>
      </w:pPr>
      <w:r>
        <w:rPr>
          <w:rFonts w:cs="Calibri" w:ascii="Calibri-Bold" w:hAnsi="Calibri-Bold"/>
          <w:b/>
          <w:bCs/>
          <w:sz w:val="24"/>
          <w:szCs w:val="24"/>
          <w:u w:val="single"/>
        </w:rPr>
      </w:r>
    </w:p>
    <w:p>
      <w:pPr>
        <w:pStyle w:val="Normal"/>
        <w:numPr>
          <w:ilvl w:val="0"/>
          <w:numId w:val="2"/>
        </w:numPr>
        <w:jc w:val="center"/>
        <w:rPr>
          <w:rFonts w:ascii="Calibri-Bold" w:hAnsi="Calibri-Bold" w:cs="Calibri"/>
          <w:b/>
          <w:bCs/>
          <w:sz w:val="24"/>
          <w:szCs w:val="24"/>
          <w:u w:val="single"/>
        </w:rPr>
      </w:pPr>
      <w:r>
        <w:rPr>
          <w:rFonts w:cs="Calibri" w:ascii="Calibri-Bold" w:hAnsi="Calibri-Bold"/>
          <w:b/>
          <w:bCs/>
          <w:sz w:val="24"/>
          <w:szCs w:val="24"/>
          <w:u w:val="single"/>
        </w:rPr>
      </w:r>
    </w:p>
    <w:p>
      <w:pPr>
        <w:pStyle w:val="Normal"/>
        <w:numPr>
          <w:ilvl w:val="0"/>
          <w:numId w:val="2"/>
        </w:numPr>
        <w:jc w:val="center"/>
        <w:rPr>
          <w:rFonts w:ascii="Calibri-Bold" w:hAnsi="Calibri-Bold" w:cs="Calibri"/>
          <w:b/>
          <w:bCs/>
          <w:sz w:val="24"/>
          <w:szCs w:val="24"/>
          <w:u w:val="single"/>
        </w:rPr>
      </w:pPr>
      <w:r>
        <w:rPr>
          <w:rFonts w:cs="Calibri" w:ascii="Calibri-Bold" w:hAnsi="Calibri-Bold"/>
          <w:b/>
          <w:bCs/>
          <w:sz w:val="24"/>
          <w:szCs w:val="24"/>
          <w:u w:val="single"/>
        </w:rPr>
      </w:r>
    </w:p>
    <w:p>
      <w:pPr>
        <w:pStyle w:val="Normal"/>
        <w:numPr>
          <w:ilvl w:val="0"/>
          <w:numId w:val="2"/>
        </w:numPr>
        <w:jc w:val="center"/>
        <w:rPr>
          <w:rFonts w:ascii="Calibri-Bold" w:hAnsi="Calibri-Bold" w:cs="Calibri"/>
          <w:b/>
          <w:bCs/>
          <w:sz w:val="24"/>
          <w:szCs w:val="24"/>
          <w:u w:val="single"/>
        </w:rPr>
      </w:pPr>
      <w:r>
        <w:rPr>
          <w:rFonts w:cs="Calibri" w:ascii="Calibri-Bold" w:hAnsi="Calibri-Bold"/>
          <w:b/>
          <w:bCs/>
          <w:sz w:val="24"/>
          <w:szCs w:val="24"/>
          <w:u w:val="single"/>
        </w:rPr>
      </w:r>
    </w:p>
    <w:p>
      <w:pPr>
        <w:pStyle w:val="Normal"/>
        <w:numPr>
          <w:ilvl w:val="0"/>
          <w:numId w:val="2"/>
        </w:numPr>
        <w:jc w:val="center"/>
        <w:rPr>
          <w:rFonts w:ascii="Calibri-Bold" w:hAnsi="Calibri-Bold" w:cs="Calibri"/>
          <w:b/>
          <w:bCs/>
          <w:sz w:val="24"/>
          <w:szCs w:val="24"/>
          <w:u w:val="single"/>
        </w:rPr>
      </w:pPr>
      <w:r>
        <w:rPr>
          <w:rFonts w:cs="Calibri" w:ascii="Calibri-Bold" w:hAnsi="Calibri-Bold"/>
          <w:b/>
          <w:bCs/>
          <w:sz w:val="24"/>
          <w:szCs w:val="24"/>
          <w:u w:val="single"/>
        </w:rPr>
      </w:r>
    </w:p>
    <w:p>
      <w:pPr>
        <w:pStyle w:val="Normal"/>
        <w:numPr>
          <w:ilvl w:val="0"/>
          <w:numId w:val="2"/>
        </w:numPr>
        <w:jc w:val="center"/>
        <w:rPr>
          <w:rFonts w:ascii="Calibri-Bold" w:hAnsi="Calibri-Bold" w:cs="Calibri"/>
          <w:b/>
          <w:bCs/>
          <w:sz w:val="24"/>
          <w:szCs w:val="24"/>
          <w:u w:val="single"/>
        </w:rPr>
      </w:pPr>
      <w:r>
        <w:rPr>
          <w:rFonts w:cs="Calibri" w:ascii="Calibri-Bold" w:hAnsi="Calibri-Bold"/>
          <w:b/>
          <w:bCs/>
          <w:sz w:val="24"/>
          <w:szCs w:val="24"/>
          <w:u w:val="single"/>
        </w:rPr>
      </w:r>
    </w:p>
    <w:p>
      <w:pPr>
        <w:pStyle w:val="Normal"/>
        <w:numPr>
          <w:ilvl w:val="0"/>
          <w:numId w:val="2"/>
        </w:numPr>
        <w:jc w:val="center"/>
        <w:rPr/>
      </w:pPr>
      <w:bookmarkStart w:id="0" w:name="__RefHeading___Toc12481_1413620721"/>
      <w:bookmarkEnd w:id="0"/>
      <w:r>
        <w:rPr/>
        <w:t>Base giuridica delle modifiche:</w:t>
      </w:r>
    </w:p>
    <w:p>
      <w:pPr>
        <w:pStyle w:val="Normal"/>
        <w:numPr>
          <w:ilvl w:val="0"/>
          <w:numId w:val="2"/>
        </w:numPr>
        <w:jc w:val="center"/>
        <w:rPr>
          <w:rFonts w:ascii="Calibri-Bold" w:hAnsi="Calibri-Bold" w:cs="Calibri"/>
          <w:b/>
          <w:bCs/>
          <w:sz w:val="28"/>
          <w:szCs w:val="28"/>
          <w:u w:val="single"/>
          <w:shd w:fill="FFFF00" w:val="clear"/>
        </w:rPr>
      </w:pPr>
      <w:r>
        <w:rPr>
          <w:rFonts w:cs="Calibri" w:ascii="Calibri-Bold" w:hAnsi="Calibri-Bold"/>
          <w:b/>
          <w:bCs/>
          <w:sz w:val="28"/>
          <w:szCs w:val="28"/>
          <w:u w:val="single"/>
          <w:shd w:fill="FFFF00" w:val="clear"/>
        </w:rPr>
      </w:r>
    </w:p>
    <w:p>
      <w:pPr>
        <w:pStyle w:val="Normal"/>
        <w:numPr>
          <w:ilvl w:val="0"/>
          <w:numId w:val="2"/>
        </w:numPr>
        <w:jc w:val="center"/>
        <w:rPr>
          <w:highlight w:val="none"/>
          <w:shd w:fill="FFFF00" w:val="clear"/>
        </w:rPr>
      </w:pPr>
      <w:r>
        <w:rPr>
          <w:rFonts w:cs="Calibri" w:ascii="Calibri-Bold" w:hAnsi="Calibri-Bold"/>
          <w:b/>
          <w:bCs/>
          <w:sz w:val="28"/>
          <w:szCs w:val="28"/>
          <w:u w:val="single"/>
          <w:shd w:fill="FFFF00" w:val="clear"/>
        </w:rPr>
        <w:t xml:space="preserve">Articolo 11, lettera b), </w:t>
      </w:r>
      <w:r>
        <w:rPr>
          <w:rFonts w:eastAsia="NSimSun" w:cs="Calibri" w:ascii="Calibri-Bold" w:hAnsi="Calibri-Bold"/>
          <w:b/>
          <w:bCs/>
          <w:color w:val="000000"/>
          <w:kern w:val="2"/>
          <w:sz w:val="28"/>
          <w:szCs w:val="28"/>
          <w:u w:val="single"/>
          <w:shd w:fill="FFFF00" w:val="clear"/>
          <w:lang w:eastAsia="zh-CN" w:bidi="hi-IN"/>
        </w:rPr>
        <w:t>comma  2</w:t>
      </w:r>
      <w:r>
        <w:rPr>
          <w:rFonts w:eastAsia="NSimSun" w:cs="Calibri" w:ascii="Calibri-Bold" w:hAnsi="Calibri-Bold"/>
          <w:b/>
          <w:bCs/>
          <w:color w:val="000000"/>
          <w:kern w:val="2"/>
          <w:sz w:val="18"/>
          <w:szCs w:val="18"/>
          <w:u w:val="single"/>
          <w:shd w:fill="FFFF00" w:val="clear"/>
          <w:lang w:eastAsia="zh-CN" w:bidi="hi-IN"/>
        </w:rPr>
        <w:t xml:space="preserve">  </w:t>
      </w:r>
      <w:r>
        <w:rPr>
          <w:rFonts w:cs="Calibri" w:ascii="Calibri-Bold" w:hAnsi="Calibri-Bold"/>
          <w:b/>
          <w:bCs/>
          <w:sz w:val="28"/>
          <w:szCs w:val="28"/>
          <w:u w:val="single"/>
          <w:shd w:fill="FFFF00" w:val="clear"/>
        </w:rPr>
        <w:t>del Regolamento (UE) n. 1305/2013</w:t>
      </w:r>
    </w:p>
    <w:p>
      <w:pPr>
        <w:pStyle w:val="Normal"/>
        <w:numPr>
          <w:ilvl w:val="0"/>
          <w:numId w:val="2"/>
        </w:numPr>
        <w:jc w:val="center"/>
        <w:rPr>
          <w:rFonts w:ascii="Calibri-Bold" w:hAnsi="Calibri-Bold" w:cs="Calibri"/>
          <w:b/>
          <w:bCs/>
          <w:sz w:val="28"/>
          <w:szCs w:val="28"/>
          <w:highlight w:val="none"/>
          <w:u w:val="single"/>
          <w:shd w:fill="FFFF00" w:val="clear"/>
        </w:rPr>
      </w:pPr>
      <w:r>
        <w:rPr>
          <w:rFonts w:cs="Calibri" w:ascii="Calibri-Bold" w:hAnsi="Calibri-Bold"/>
          <w:b/>
          <w:bCs/>
          <w:sz w:val="28"/>
          <w:szCs w:val="28"/>
          <w:u w:val="single"/>
          <w:shd w:fill="FFFF00" w:val="clear"/>
        </w:rPr>
      </w:r>
    </w:p>
    <w:p>
      <w:pPr>
        <w:pStyle w:val="Normal"/>
        <w:numPr>
          <w:ilvl w:val="0"/>
          <w:numId w:val="2"/>
        </w:numPr>
        <w:jc w:val="center"/>
        <w:rPr>
          <w:rFonts w:ascii="Calibri-Bold" w:hAnsi="Calibri-Bold" w:cs="Calibri"/>
          <w:b/>
          <w:bCs/>
          <w:sz w:val="28"/>
          <w:szCs w:val="28"/>
          <w:u w:val="single"/>
        </w:rPr>
      </w:pPr>
      <w:r>
        <w:rPr>
          <w:rFonts w:cs="Calibri" w:ascii="Calibri-Bold" w:hAnsi="Calibri-Bold"/>
          <w:b/>
          <w:bCs/>
          <w:sz w:val="28"/>
          <w:szCs w:val="28"/>
          <w:u w:val="single"/>
        </w:rPr>
      </w:r>
    </w:p>
    <w:p>
      <w:pPr>
        <w:pStyle w:val="Normal"/>
        <w:numPr>
          <w:ilvl w:val="0"/>
          <w:numId w:val="2"/>
        </w:numPr>
        <w:jc w:val="center"/>
        <w:rPr>
          <w:rFonts w:ascii="Calibri-Bold" w:hAnsi="Calibri-Bold" w:cs="Calibri"/>
          <w:b/>
          <w:bCs/>
          <w:sz w:val="28"/>
          <w:szCs w:val="28"/>
          <w:u w:val="single"/>
        </w:rPr>
      </w:pPr>
      <w:r>
        <w:rPr>
          <w:rFonts w:cs="Calibri" w:ascii="Calibri-Bold" w:hAnsi="Calibri-Bold"/>
          <w:b/>
          <w:bCs/>
          <w:sz w:val="28"/>
          <w:szCs w:val="28"/>
          <w:u w:val="single"/>
        </w:rPr>
      </w:r>
    </w:p>
    <w:p>
      <w:pPr>
        <w:pStyle w:val="Normal"/>
        <w:jc w:val="center"/>
        <w:rPr>
          <w:rFonts w:ascii="Calibri-Bold" w:hAnsi="Calibri-Bold" w:cs="Calibri"/>
          <w:b/>
          <w:bCs/>
          <w:sz w:val="28"/>
          <w:szCs w:val="28"/>
          <w:u w:val="single"/>
        </w:rPr>
      </w:pPr>
      <w:r>
        <w:rPr>
          <w:rFonts w:cs="Calibri" w:ascii="Calibri-Bold" w:hAnsi="Calibri-Bold"/>
          <w:b/>
          <w:bCs/>
          <w:sz w:val="28"/>
          <w:szCs w:val="28"/>
          <w:u w:val="single"/>
        </w:rPr>
      </w:r>
    </w:p>
    <w:p>
      <w:pPr>
        <w:pStyle w:val="Normal"/>
        <w:jc w:val="center"/>
        <w:rPr>
          <w:rFonts w:ascii="Calibri-Bold" w:hAnsi="Calibri-Bold" w:cs="Calibri"/>
          <w:b/>
          <w:bCs/>
          <w:sz w:val="28"/>
          <w:szCs w:val="28"/>
          <w:u w:val="single"/>
        </w:rPr>
      </w:pPr>
      <w:r>
        <w:rPr>
          <w:rFonts w:cs="Calibri" w:ascii="Calibri-Bold" w:hAnsi="Calibri-Bold"/>
          <w:b/>
          <w:bCs/>
          <w:sz w:val="28"/>
          <w:szCs w:val="28"/>
          <w:u w:val="single"/>
        </w:rPr>
      </w:r>
    </w:p>
    <w:p>
      <w:pPr>
        <w:pStyle w:val="Normal"/>
        <w:jc w:val="center"/>
        <w:rPr>
          <w:rFonts w:ascii="Calibri-Bold" w:hAnsi="Calibri-Bold" w:cs="Calibri"/>
          <w:b/>
          <w:bCs/>
          <w:sz w:val="28"/>
          <w:szCs w:val="28"/>
          <w:u w:val="single"/>
        </w:rPr>
      </w:pPr>
      <w:r>
        <w:rPr>
          <w:rFonts w:cs="Calibri" w:ascii="Calibri-Bold" w:hAnsi="Calibri-Bold"/>
          <w:b/>
          <w:bCs/>
          <w:sz w:val="28"/>
          <w:szCs w:val="28"/>
          <w:u w:val="single"/>
        </w:rPr>
      </w:r>
    </w:p>
    <w:p>
      <w:pPr>
        <w:pStyle w:val="Normal"/>
        <w:jc w:val="center"/>
        <w:rPr>
          <w:rFonts w:ascii="Calibri-Bold" w:hAnsi="Calibri-Bold" w:cs="Calibri"/>
          <w:b/>
          <w:bCs/>
          <w:sz w:val="28"/>
          <w:szCs w:val="28"/>
          <w:u w:val="single"/>
        </w:rPr>
      </w:pPr>
      <w:r>
        <w:rPr>
          <w:rFonts w:cs="Calibri" w:ascii="Calibri-Bold" w:hAnsi="Calibri-Bold"/>
          <w:b/>
          <w:bCs/>
          <w:sz w:val="28"/>
          <w:szCs w:val="28"/>
          <w:u w:val="single"/>
        </w:rPr>
      </w:r>
    </w:p>
    <w:p>
      <w:pPr>
        <w:pStyle w:val="Normal"/>
        <w:jc w:val="center"/>
        <w:rPr>
          <w:rFonts w:ascii="Calibri-Bold" w:hAnsi="Calibri-Bold" w:cs="Calibri"/>
          <w:b/>
          <w:bCs/>
          <w:sz w:val="28"/>
          <w:szCs w:val="28"/>
          <w:u w:val="single"/>
        </w:rPr>
      </w:pPr>
      <w:r>
        <w:rPr>
          <w:rFonts w:cs="Calibri" w:ascii="Calibri-Bold" w:hAnsi="Calibri-Bold"/>
          <w:b/>
          <w:bCs/>
          <w:sz w:val="28"/>
          <w:szCs w:val="28"/>
          <w:u w:val="single"/>
        </w:rPr>
      </w:r>
    </w:p>
    <w:p>
      <w:pPr>
        <w:pStyle w:val="Normal"/>
        <w:jc w:val="center"/>
        <w:rPr>
          <w:rFonts w:ascii="Calibri-Bold" w:hAnsi="Calibri-Bold" w:cs="Calibri"/>
          <w:b/>
          <w:bCs/>
          <w:sz w:val="28"/>
          <w:szCs w:val="28"/>
          <w:u w:val="single"/>
        </w:rPr>
      </w:pPr>
      <w:r>
        <w:rPr>
          <w:rFonts w:cs="Calibri" w:ascii="Calibri-Bold" w:hAnsi="Calibri-Bold"/>
          <w:b/>
          <w:bCs/>
          <w:sz w:val="28"/>
          <w:szCs w:val="28"/>
          <w:u w:val="single"/>
        </w:rPr>
      </w:r>
    </w:p>
    <w:p>
      <w:pPr>
        <w:pStyle w:val="Normal"/>
        <w:jc w:val="center"/>
        <w:rPr>
          <w:rFonts w:ascii="Calibri-Bold" w:hAnsi="Calibri-Bold" w:cs="Calibri"/>
          <w:b/>
          <w:bCs/>
          <w:sz w:val="28"/>
          <w:szCs w:val="28"/>
          <w:u w:val="single"/>
        </w:rPr>
      </w:pPr>
      <w:r>
        <w:rPr>
          <w:rFonts w:cs="Calibri" w:ascii="Calibri-Bold" w:hAnsi="Calibri-Bold"/>
          <w:b/>
          <w:bCs/>
          <w:sz w:val="28"/>
          <w:szCs w:val="28"/>
          <w:u w:val="single"/>
        </w:rPr>
      </w:r>
    </w:p>
    <w:p>
      <w:pPr>
        <w:pStyle w:val="Normal"/>
        <w:jc w:val="center"/>
        <w:rPr>
          <w:rFonts w:ascii="Calibri-Bold" w:hAnsi="Calibri-Bold" w:cs="Calibri"/>
          <w:b/>
          <w:bCs/>
          <w:sz w:val="28"/>
          <w:szCs w:val="28"/>
          <w:u w:val="single"/>
        </w:rPr>
      </w:pPr>
      <w:r>
        <w:rPr>
          <w:rFonts w:cs="Calibri" w:ascii="Calibri-Bold" w:hAnsi="Calibri-Bold"/>
          <w:b/>
          <w:bCs/>
          <w:sz w:val="28"/>
          <w:szCs w:val="28"/>
          <w:u w:val="single"/>
        </w:rPr>
      </w:r>
    </w:p>
    <w:p>
      <w:pPr>
        <w:pStyle w:val="Normal"/>
        <w:jc w:val="center"/>
        <w:rPr>
          <w:rFonts w:ascii="Calibri-Bold" w:hAnsi="Calibri-Bold" w:cs="Calibri"/>
          <w:b/>
          <w:bCs/>
          <w:sz w:val="28"/>
          <w:szCs w:val="28"/>
          <w:u w:val="single"/>
        </w:rPr>
      </w:pPr>
      <w:r>
        <w:rPr>
          <w:rFonts w:cs="Calibri" w:ascii="Calibri-Bold" w:hAnsi="Calibri-Bold"/>
          <w:b/>
          <w:bCs/>
          <w:sz w:val="28"/>
          <w:szCs w:val="28"/>
          <w:u w:val="single"/>
        </w:rPr>
      </w:r>
    </w:p>
    <w:p>
      <w:pPr>
        <w:pStyle w:val="Normal"/>
        <w:jc w:val="center"/>
        <w:rPr>
          <w:rFonts w:ascii="Calibri-Bold" w:hAnsi="Calibri-Bold" w:cs="Calibri"/>
          <w:b/>
          <w:bCs/>
          <w:sz w:val="28"/>
          <w:szCs w:val="28"/>
          <w:u w:val="single"/>
        </w:rPr>
      </w:pPr>
      <w:r>
        <w:rPr>
          <w:rFonts w:cs="Calibri" w:ascii="Calibri-Bold" w:hAnsi="Calibri-Bold"/>
          <w:b/>
          <w:bCs/>
          <w:sz w:val="28"/>
          <w:szCs w:val="28"/>
          <w:u w:val="single"/>
        </w:rPr>
      </w:r>
    </w:p>
    <w:p>
      <w:pPr>
        <w:pStyle w:val="Normal"/>
        <w:jc w:val="center"/>
        <w:rPr>
          <w:rFonts w:ascii="Calibri-Bold" w:hAnsi="Calibri-Bold" w:cs="Calibri"/>
          <w:b/>
          <w:bCs/>
          <w:sz w:val="28"/>
          <w:szCs w:val="28"/>
          <w:u w:val="single"/>
        </w:rPr>
      </w:pPr>
      <w:r>
        <w:rPr>
          <w:rFonts w:cs="Calibri" w:ascii="Calibri-Bold" w:hAnsi="Calibri-Bold"/>
          <w:b/>
          <w:bCs/>
          <w:sz w:val="28"/>
          <w:szCs w:val="28"/>
          <w:u w:val="single"/>
        </w:rPr>
      </w:r>
    </w:p>
    <w:p>
      <w:pPr>
        <w:pStyle w:val="Normal"/>
        <w:jc w:val="center"/>
        <w:rPr>
          <w:rFonts w:ascii="Calibri-Bold" w:hAnsi="Calibri-Bold" w:cs="Calibri"/>
          <w:b/>
          <w:bCs/>
          <w:sz w:val="28"/>
          <w:szCs w:val="28"/>
          <w:u w:val="single"/>
        </w:rPr>
      </w:pPr>
      <w:r>
        <w:rPr>
          <w:rFonts w:cs="Calibri" w:ascii="Calibri-Bold" w:hAnsi="Calibri-Bold"/>
          <w:b/>
          <w:bCs/>
          <w:sz w:val="28"/>
          <w:szCs w:val="28"/>
          <w:u w:val="single"/>
        </w:rPr>
      </w:r>
    </w:p>
    <w:p>
      <w:pPr>
        <w:pStyle w:val="Normal"/>
        <w:jc w:val="center"/>
        <w:rPr>
          <w:rFonts w:ascii="Calibri-Bold" w:hAnsi="Calibri-Bold" w:cs="Calibri"/>
          <w:b/>
          <w:bCs/>
          <w:sz w:val="28"/>
          <w:szCs w:val="28"/>
          <w:u w:val="single"/>
        </w:rPr>
      </w:pPr>
      <w:r>
        <w:rPr>
          <w:rFonts w:cs="Calibri" w:ascii="Calibri-Bold" w:hAnsi="Calibri-Bold"/>
          <w:b/>
          <w:bCs/>
          <w:sz w:val="28"/>
          <w:szCs w:val="28"/>
          <w:u w:val="single"/>
        </w:rPr>
      </w:r>
    </w:p>
    <w:p>
      <w:pPr>
        <w:pStyle w:val="Normal"/>
        <w:jc w:val="center"/>
        <w:rPr>
          <w:rFonts w:ascii="Calibri-Bold" w:hAnsi="Calibri-Bold" w:cs="Calibri"/>
          <w:b/>
          <w:bCs/>
          <w:sz w:val="28"/>
          <w:szCs w:val="28"/>
          <w:u w:val="single"/>
        </w:rPr>
      </w:pPr>
      <w:r>
        <w:rPr>
          <w:rFonts w:cs="Calibri" w:ascii="Calibri-Bold" w:hAnsi="Calibri-Bold"/>
          <w:b/>
          <w:bCs/>
          <w:sz w:val="28"/>
          <w:szCs w:val="28"/>
          <w:u w:val="single"/>
        </w:rPr>
      </w:r>
    </w:p>
    <w:p>
      <w:pPr>
        <w:pStyle w:val="Normal"/>
        <w:jc w:val="center"/>
        <w:rPr>
          <w:rFonts w:ascii="Calibri-Bold" w:hAnsi="Calibri-Bold" w:cs="Calibri"/>
          <w:b/>
          <w:bCs/>
          <w:sz w:val="28"/>
          <w:szCs w:val="28"/>
          <w:u w:val="single"/>
        </w:rPr>
      </w:pPr>
      <w:r>
        <w:rPr>
          <w:rFonts w:cs="Calibri" w:ascii="Calibri-Bold" w:hAnsi="Calibri-Bold"/>
          <w:b/>
          <w:bCs/>
          <w:sz w:val="28"/>
          <w:szCs w:val="28"/>
          <w:u w:val="single"/>
        </w:rPr>
      </w:r>
    </w:p>
    <w:p>
      <w:pPr>
        <w:pStyle w:val="Normal"/>
        <w:jc w:val="center"/>
        <w:rPr>
          <w:rFonts w:ascii="Calibri-Bold" w:hAnsi="Calibri-Bold" w:cs="Calibri"/>
          <w:b/>
          <w:bCs/>
          <w:sz w:val="28"/>
          <w:szCs w:val="28"/>
          <w:u w:val="single"/>
        </w:rPr>
      </w:pPr>
      <w:r>
        <w:rPr>
          <w:rFonts w:cs="Calibri" w:ascii="Calibri-Bold" w:hAnsi="Calibri-Bold"/>
          <w:b/>
          <w:bCs/>
          <w:sz w:val="28"/>
          <w:szCs w:val="28"/>
          <w:u w:val="single"/>
        </w:rPr>
      </w:r>
    </w:p>
    <w:p>
      <w:pPr>
        <w:pStyle w:val="Normal"/>
        <w:jc w:val="center"/>
        <w:rPr>
          <w:rFonts w:ascii="Calibri-Bold" w:hAnsi="Calibri-Bold" w:cs="Calibri"/>
          <w:b/>
          <w:bCs/>
          <w:sz w:val="28"/>
          <w:szCs w:val="28"/>
          <w:u w:val="single"/>
        </w:rPr>
      </w:pPr>
      <w:r>
        <w:rPr>
          <w:rFonts w:cs="Calibri" w:ascii="Calibri-Bold" w:hAnsi="Calibri-Bold"/>
          <w:b/>
          <w:bCs/>
          <w:sz w:val="28"/>
          <w:szCs w:val="28"/>
          <w:u w:val="single"/>
        </w:rPr>
      </w:r>
    </w:p>
    <w:p>
      <w:pPr>
        <w:pStyle w:val="Normal"/>
        <w:jc w:val="center"/>
        <w:rPr>
          <w:rFonts w:ascii="Calibri-Bold" w:hAnsi="Calibri-Bold" w:cs="Calibri"/>
          <w:b/>
          <w:bCs/>
          <w:sz w:val="28"/>
          <w:szCs w:val="28"/>
          <w:u w:val="single"/>
        </w:rPr>
      </w:pPr>
      <w:r>
        <w:rPr>
          <w:rFonts w:cs="Calibri" w:ascii="Calibri-Bold" w:hAnsi="Calibri-Bold"/>
          <w:b/>
          <w:bCs/>
          <w:sz w:val="28"/>
          <w:szCs w:val="28"/>
          <w:u w:val="single"/>
        </w:rPr>
      </w:r>
    </w:p>
    <w:p>
      <w:pPr>
        <w:pStyle w:val="Normal"/>
        <w:jc w:val="center"/>
        <w:rPr>
          <w:rFonts w:ascii="Calibri-Bold" w:hAnsi="Calibri-Bold" w:cs="Calibri"/>
          <w:b/>
          <w:bCs/>
          <w:sz w:val="28"/>
          <w:szCs w:val="28"/>
          <w:u w:val="single"/>
        </w:rPr>
      </w:pPr>
      <w:r>
        <w:rPr>
          <w:rFonts w:cs="Calibri" w:ascii="Calibri-Bold" w:hAnsi="Calibri-Bold"/>
          <w:b/>
          <w:bCs/>
          <w:sz w:val="28"/>
          <w:szCs w:val="28"/>
          <w:u w:val="single"/>
        </w:rPr>
      </w:r>
    </w:p>
    <w:p>
      <w:pPr>
        <w:pStyle w:val="Normal"/>
        <w:numPr>
          <w:ilvl w:val="0"/>
          <w:numId w:val="2"/>
        </w:numPr>
        <w:rPr/>
      </w:pPr>
      <w:r>
        <w:rPr>
          <w:b/>
          <w:sz w:val="28"/>
          <w:szCs w:val="28"/>
        </w:rPr>
        <w:t>Motivi e/o difficoltà di attuazione che giustificano la modifica</w:t>
      </w:r>
    </w:p>
    <w:p>
      <w:pPr>
        <w:pStyle w:val="Normal"/>
        <w:jc w:val="both"/>
        <w:rPr/>
      </w:pPr>
      <w:r>
        <w:rPr>
          <w:rStyle w:val="A0"/>
          <w:rFonts w:eastAsia="Calibri"/>
          <w:b w:val="false"/>
          <w:bCs w:val="false"/>
          <w:strike w:val="false"/>
          <w:dstrike w:val="false"/>
          <w:color w:val="000000"/>
          <w:kern w:val="0"/>
          <w:szCs w:val="22"/>
          <w:u w:val="none"/>
          <w:shd w:fill="auto" w:val="clear"/>
          <w:lang w:val="it-IT" w:eastAsia="en-US" w:bidi="ar-SA"/>
        </w:rPr>
        <w:t xml:space="preserve">Con la prima modifica 2025 al Programma, approvata con Decisione della Commissione europea C(2025)1479 del 5 marzo 2025 (Versione 17 del PSR), è stata operata una riprogrammazione finanziaria utilizzando anche la flessibilità concessa dal Reg. (UE) n. 1305/2013, art. 59, in materia di tassi di cofinanziamento; ciò al fine di ridurre il rischio di perdita di </w:t>
      </w:r>
      <w:r>
        <w:rPr>
          <w:rStyle w:val="A0"/>
          <w:rFonts w:eastAsia="Calibri"/>
          <w:b w:val="false"/>
          <w:bCs w:val="false"/>
          <w:strike w:val="false"/>
          <w:dstrike w:val="false"/>
          <w:color w:val="000000"/>
          <w:kern w:val="0"/>
          <w:sz w:val="22"/>
          <w:szCs w:val="22"/>
          <w:u w:val="none"/>
          <w:shd w:fill="auto" w:val="clear"/>
          <w:lang w:val="it-IT" w:eastAsia="en-US" w:bidi="ar-SA"/>
        </w:rPr>
        <w:t>fondi</w:t>
      </w:r>
      <w:r>
        <w:rPr>
          <w:rStyle w:val="A0"/>
          <w:rFonts w:eastAsia="Calibri"/>
          <w:b w:val="false"/>
          <w:bCs w:val="false"/>
          <w:strike w:val="false"/>
          <w:dstrike w:val="false"/>
          <w:color w:val="000000"/>
          <w:kern w:val="0"/>
          <w:szCs w:val="22"/>
          <w:u w:val="none"/>
          <w:shd w:fill="auto" w:val="clear"/>
          <w:lang w:val="it-IT" w:eastAsia="en-US" w:bidi="ar-SA"/>
        </w:rPr>
        <w:t xml:space="preserve"> in chiusura del Programma al 31.12.2025.</w:t>
      </w:r>
    </w:p>
    <w:p>
      <w:pPr>
        <w:pStyle w:val="Normal"/>
        <w:jc w:val="both"/>
        <w:rPr/>
      </w:pPr>
      <w:r>
        <w:rPr>
          <w:rStyle w:val="A0"/>
          <w:rFonts w:eastAsia="Calibri"/>
          <w:b w:val="false"/>
          <w:bCs w:val="false"/>
          <w:strike w:val="false"/>
          <w:dstrike w:val="false"/>
          <w:color w:val="000000"/>
          <w:kern w:val="0"/>
          <w:szCs w:val="22"/>
          <w:u w:val="none"/>
          <w:shd w:fill="auto" w:val="clear"/>
          <w:lang w:val="it-IT" w:eastAsia="en-US" w:bidi="ar-SA"/>
        </w:rPr>
        <w:t xml:space="preserve">Dal momento che, in tale modifica, la scelta dei tassi FEASR da applicare e l’allocazione delle diverse tipologie di fondi (cofinanziato e </w:t>
      </w:r>
      <w:r>
        <w:rPr>
          <w:rStyle w:val="A0"/>
          <w:rFonts w:eastAsia="Calibri"/>
          <w:b w:val="false"/>
          <w:bCs w:val="false"/>
          <w:i/>
          <w:iCs/>
          <w:strike w:val="false"/>
          <w:dstrike w:val="false"/>
          <w:color w:val="000000"/>
          <w:kern w:val="0"/>
          <w:szCs w:val="22"/>
          <w:u w:val="none"/>
          <w:shd w:fill="auto" w:val="clear"/>
          <w:lang w:val="it-IT" w:eastAsia="en-US" w:bidi="ar-SA"/>
        </w:rPr>
        <w:t>top up</w:t>
      </w:r>
      <w:r>
        <w:rPr>
          <w:rStyle w:val="A0"/>
          <w:rFonts w:eastAsia="Calibri"/>
          <w:b w:val="false"/>
          <w:bCs w:val="false"/>
          <w:i w:val="false"/>
          <w:iCs w:val="false"/>
          <w:strike w:val="false"/>
          <w:dstrike w:val="false"/>
          <w:color w:val="000000"/>
          <w:kern w:val="0"/>
          <w:szCs w:val="22"/>
          <w:u w:val="none"/>
          <w:shd w:fill="auto" w:val="clear"/>
          <w:lang w:val="it-IT" w:eastAsia="en-US" w:bidi="ar-SA"/>
        </w:rPr>
        <w:t xml:space="preserve">) sulle varie misure si era basata sulle stime - effettuate nel gennaio 2025 - dei pagamenti al 31.03.2025, attualmente si rende necessario riallineare tali stime con i dati relativi ai pagamenti realmente effettuati, aggiustando di conseguenza i fondi </w:t>
      </w:r>
      <w:r>
        <w:rPr>
          <w:rStyle w:val="A0"/>
          <w:rFonts w:eastAsia="Calibri"/>
          <w:b w:val="false"/>
          <w:bCs w:val="false"/>
          <w:i/>
          <w:iCs/>
          <w:strike w:val="false"/>
          <w:dstrike w:val="false"/>
          <w:color w:val="000000"/>
          <w:kern w:val="0"/>
          <w:szCs w:val="22"/>
          <w:u w:val="none"/>
          <w:shd w:fill="auto" w:val="clear"/>
          <w:lang w:val="it-IT" w:eastAsia="en-US" w:bidi="ar-SA"/>
        </w:rPr>
        <w:t>top up</w:t>
      </w:r>
      <w:r>
        <w:rPr>
          <w:rStyle w:val="A0"/>
          <w:rFonts w:eastAsia="Calibri"/>
          <w:b w:val="false"/>
          <w:bCs w:val="false"/>
          <w:i w:val="false"/>
          <w:iCs w:val="false"/>
          <w:strike w:val="false"/>
          <w:dstrike w:val="false"/>
          <w:color w:val="000000"/>
          <w:kern w:val="0"/>
          <w:szCs w:val="22"/>
          <w:u w:val="none"/>
          <w:shd w:fill="auto" w:val="clear"/>
          <w:lang w:val="it-IT" w:eastAsia="en-US" w:bidi="ar-SA"/>
        </w:rPr>
        <w:t xml:space="preserve"> indicati inizia</w:t>
      </w:r>
      <w:r>
        <w:rPr>
          <w:rStyle w:val="A0"/>
          <w:rFonts w:eastAsia="Calibri"/>
          <w:b w:val="false"/>
          <w:bCs w:val="false"/>
          <w:strike w:val="false"/>
          <w:dstrike w:val="false"/>
          <w:color w:val="000000"/>
          <w:kern w:val="0"/>
          <w:szCs w:val="22"/>
          <w:u w:val="none"/>
          <w:shd w:fill="auto" w:val="clear"/>
          <w:lang w:val="it-IT" w:eastAsia="en-US" w:bidi="ar-SA"/>
        </w:rPr>
        <w:t>lmente.</w:t>
      </w:r>
    </w:p>
    <w:p>
      <w:pPr>
        <w:pStyle w:val="Normal"/>
        <w:jc w:val="both"/>
        <w:rPr/>
      </w:pPr>
      <w:r>
        <w:rPr>
          <w:rStyle w:val="A0"/>
          <w:rFonts w:eastAsia="Calibri"/>
          <w:b w:val="false"/>
          <w:bCs w:val="false"/>
          <w:i w:val="false"/>
          <w:iCs w:val="false"/>
          <w:caps w:val="false"/>
          <w:smallCaps w:val="false"/>
          <w:strike w:val="false"/>
          <w:dstrike w:val="false"/>
          <w:outline w:val="false"/>
          <w:vanish w:val="false"/>
          <w:color w:val="000000"/>
          <w:spacing w:val="0"/>
          <w:w w:val="100"/>
          <w:kern w:val="0"/>
          <w:position w:val="0"/>
          <w:sz w:val="22"/>
          <w:sz w:val="22"/>
          <w:szCs w:val="22"/>
          <w:u w:val="none"/>
          <w:shd w:fill="auto" w:val="clear"/>
          <w:vertAlign w:val="baseline"/>
          <w:lang w:val="it-IT" w:eastAsia="en-US" w:bidi="ar-SA"/>
        </w:rPr>
        <w:t>Oltre a tali aggiustamenti meramente tecnici, all’interno della presente proposta di modifica si inseriscono alcuni spostamenti di dotazione finanziaria tra misure, al fine di riutilizzare le economie maturate, collocandole su altre misure ancora in grado di spendere fondi entro la scadenza della programmazione.</w:t>
      </w:r>
    </w:p>
    <w:p>
      <w:pPr>
        <w:pStyle w:val="Normal"/>
        <w:jc w:val="both"/>
        <w:rPr/>
      </w:pPr>
      <w:r>
        <w:rPr>
          <w:rStyle w:val="A0"/>
          <w:rFonts w:eastAsia="Calibri"/>
          <w:b w:val="false"/>
          <w:bCs w:val="false"/>
          <w:i w:val="false"/>
          <w:iCs w:val="false"/>
          <w:caps w:val="false"/>
          <w:smallCaps w:val="false"/>
          <w:strike w:val="false"/>
          <w:dstrike w:val="false"/>
          <w:outline w:val="false"/>
          <w:vanish w:val="false"/>
          <w:color w:val="000000"/>
          <w:spacing w:val="0"/>
          <w:w w:val="100"/>
          <w:kern w:val="0"/>
          <w:position w:val="0"/>
          <w:sz w:val="22"/>
          <w:sz w:val="22"/>
          <w:szCs w:val="22"/>
          <w:u w:val="none"/>
          <w:shd w:fill="auto" w:val="clear"/>
          <w:vertAlign w:val="baseline"/>
          <w:lang w:val="it-IT" w:eastAsia="en-US" w:bidi="ar-SA"/>
        </w:rPr>
        <w:t xml:space="preserve">Vengono inoltre effettuati alcuni </w:t>
      </w:r>
      <w:r>
        <w:rPr>
          <w:rStyle w:val="A0"/>
          <w:rFonts w:eastAsia="Calibri"/>
          <w:b w:val="false"/>
          <w:bCs w:val="false"/>
          <w:i/>
          <w:iCs/>
          <w:caps w:val="false"/>
          <w:smallCaps w:val="false"/>
          <w:strike w:val="false"/>
          <w:dstrike w:val="false"/>
          <w:outline w:val="false"/>
          <w:vanish w:val="false"/>
          <w:color w:val="000000"/>
          <w:spacing w:val="0"/>
          <w:w w:val="100"/>
          <w:kern w:val="0"/>
          <w:position w:val="0"/>
          <w:sz w:val="22"/>
          <w:sz w:val="22"/>
          <w:szCs w:val="22"/>
          <w:u w:val="none"/>
          <w:shd w:fill="auto" w:val="clear"/>
          <w:vertAlign w:val="baseline"/>
          <w:lang w:val="it-IT" w:eastAsia="en-US" w:bidi="ar-SA"/>
        </w:rPr>
        <w:t>switch</w:t>
      </w:r>
      <w:r>
        <w:rPr>
          <w:rStyle w:val="A0"/>
          <w:rFonts w:eastAsia="Calibri"/>
          <w:b w:val="false"/>
          <w:bCs w:val="false"/>
          <w:i w:val="false"/>
          <w:iCs w:val="false"/>
          <w:caps w:val="false"/>
          <w:smallCaps w:val="false"/>
          <w:strike w:val="false"/>
          <w:dstrike w:val="false"/>
          <w:outline w:val="false"/>
          <w:vanish w:val="false"/>
          <w:color w:val="000000"/>
          <w:spacing w:val="0"/>
          <w:w w:val="100"/>
          <w:kern w:val="0"/>
          <w:position w:val="0"/>
          <w:sz w:val="22"/>
          <w:sz w:val="22"/>
          <w:szCs w:val="22"/>
          <w:u w:val="none"/>
          <w:shd w:fill="auto" w:val="clear"/>
          <w:vertAlign w:val="baseline"/>
          <w:lang w:val="it-IT" w:eastAsia="en-US" w:bidi="ar-SA"/>
        </w:rPr>
        <w:t xml:space="preserve"> tra fondi cofinanziati e </w:t>
      </w:r>
      <w:r>
        <w:rPr>
          <w:rStyle w:val="A0"/>
          <w:rFonts w:eastAsia="Calibri"/>
          <w:b w:val="false"/>
          <w:bCs w:val="false"/>
          <w:i/>
          <w:iCs/>
          <w:caps w:val="false"/>
          <w:smallCaps w:val="false"/>
          <w:strike w:val="false"/>
          <w:dstrike w:val="false"/>
          <w:outline w:val="false"/>
          <w:vanish w:val="false"/>
          <w:color w:val="000000"/>
          <w:spacing w:val="0"/>
          <w:w w:val="100"/>
          <w:kern w:val="0"/>
          <w:position w:val="0"/>
          <w:sz w:val="22"/>
          <w:sz w:val="22"/>
          <w:szCs w:val="22"/>
          <w:u w:val="none"/>
          <w:shd w:fill="auto" w:val="clear"/>
          <w:vertAlign w:val="baseline"/>
          <w:lang w:val="it-IT" w:eastAsia="en-US" w:bidi="ar-SA"/>
        </w:rPr>
        <w:t>top up</w:t>
      </w:r>
      <w:r>
        <w:rPr>
          <w:rStyle w:val="A0"/>
          <w:rFonts w:eastAsia="Calibri"/>
          <w:b w:val="false"/>
          <w:bCs w:val="false"/>
          <w:i w:val="false"/>
          <w:iCs w:val="false"/>
          <w:caps w:val="false"/>
          <w:smallCaps w:val="false"/>
          <w:strike w:val="false"/>
          <w:dstrike w:val="false"/>
          <w:outline w:val="false"/>
          <w:vanish w:val="false"/>
          <w:color w:val="000000"/>
          <w:spacing w:val="0"/>
          <w:w w:val="100"/>
          <w:kern w:val="0"/>
          <w:position w:val="0"/>
          <w:sz w:val="22"/>
          <w:sz w:val="22"/>
          <w:szCs w:val="22"/>
          <w:u w:val="none"/>
          <w:shd w:fill="auto" w:val="clear"/>
          <w:vertAlign w:val="baseline"/>
          <w:lang w:val="it-IT" w:eastAsia="en-US" w:bidi="ar-SA"/>
        </w:rPr>
        <w:t>, limitatamente allo stretto necessario per concorrere in maniera tempestiva ad accelerare la spesa della quota FEASR, nonché per dare copertura a possibili trascinamenti.</w:t>
      </w:r>
    </w:p>
    <w:p>
      <w:pPr>
        <w:pStyle w:val="Normal"/>
        <w:jc w:val="both"/>
        <w:rPr/>
      </w:pPr>
      <w:r>
        <w:rPr>
          <w:rStyle w:val="A0"/>
          <w:rFonts w:eastAsia="Calibri"/>
          <w:b w:val="false"/>
          <w:bCs w:val="false"/>
          <w:i w:val="false"/>
          <w:iCs w:val="false"/>
          <w:caps w:val="false"/>
          <w:smallCaps w:val="false"/>
          <w:strike w:val="false"/>
          <w:dstrike w:val="false"/>
          <w:outline w:val="false"/>
          <w:vanish w:val="false"/>
          <w:color w:val="000000"/>
          <w:spacing w:val="0"/>
          <w:w w:val="100"/>
          <w:kern w:val="0"/>
          <w:position w:val="0"/>
          <w:sz w:val="22"/>
          <w:sz w:val="22"/>
          <w:szCs w:val="22"/>
          <w:u w:val="none"/>
          <w:shd w:fill="auto" w:val="clear"/>
          <w:vertAlign w:val="baseline"/>
          <w:lang w:val="it-IT" w:eastAsia="en-US" w:bidi="ar-SA"/>
        </w:rPr>
        <w:t>Lo scopo complessivo delle modifiche è quindi utilizzare prioritariamente e nel miglior modo possibile i fondi FEASR, evitandone così il disimpegno, senza ridurre l’ambizione finanziaria e ambientale del Programma, né inficiarne gli obiettivi.</w:t>
      </w:r>
    </w:p>
    <w:p>
      <w:pPr>
        <w:pStyle w:val="Normal"/>
        <w:rPr>
          <w:b/>
          <w:bCs/>
          <w:u w:val="single"/>
        </w:rPr>
      </w:pPr>
      <w:r>
        <w:rPr>
          <w:b/>
          <w:bCs/>
          <w:u w:val="single"/>
        </w:rPr>
      </w:r>
    </w:p>
    <w:p>
      <w:pPr>
        <w:pStyle w:val="Normal"/>
        <w:rPr>
          <w:b/>
          <w:bCs/>
          <w:u w:val="single"/>
        </w:rPr>
      </w:pPr>
      <w:r>
        <w:rPr>
          <w:b/>
          <w:bCs/>
          <w:u w:val="single"/>
        </w:rPr>
        <w:br/>
        <w:t>Di seguito si riporta il dettaglio di ciascuno step</w:t>
      </w:r>
    </w:p>
    <w:p>
      <w:pPr>
        <w:pStyle w:val="Normal"/>
        <w:rPr>
          <w:b/>
          <w:bCs/>
          <w:u w:val="single"/>
        </w:rPr>
      </w:pPr>
      <w:r>
        <w:rPr>
          <w:b/>
          <w:bCs/>
          <w:u w:val="single"/>
        </w:rPr>
      </w:r>
    </w:p>
    <w:p>
      <w:pPr>
        <w:pStyle w:val="Normal"/>
        <w:rPr>
          <w:b/>
          <w:bCs/>
          <w:u w:val="single"/>
        </w:rPr>
      </w:pPr>
      <w:r>
        <w:rPr>
          <w:b/>
          <w:bCs/>
          <w:u w:val="single"/>
        </w:rPr>
      </w:r>
    </w:p>
    <w:p>
      <w:pPr>
        <w:pStyle w:val="Normal"/>
        <w:jc w:val="both"/>
        <w:rPr>
          <w:color w:val="000000"/>
        </w:rPr>
      </w:pPr>
      <w:r>
        <w:rPr>
          <w:rFonts w:eastAsia="Calibri" w:cs="Tahoma"/>
          <w:b/>
          <w:bCs/>
          <w:color w:val="000000"/>
          <w:kern w:val="0"/>
          <w:sz w:val="22"/>
          <w:szCs w:val="22"/>
          <w:shd w:fill="auto" w:val="clear"/>
          <w:lang w:val="it-IT" w:eastAsia="en-US" w:bidi="ar-SA"/>
        </w:rPr>
        <w:t xml:space="preserve">1) Aggiustamenti tecnici dei </w:t>
      </w:r>
      <w:r>
        <w:rPr>
          <w:rFonts w:eastAsia="Calibri" w:cs="Tahoma"/>
          <w:b/>
          <w:bCs/>
          <w:i/>
          <w:iCs/>
          <w:color w:val="000000"/>
          <w:kern w:val="0"/>
          <w:sz w:val="22"/>
          <w:szCs w:val="22"/>
          <w:shd w:fill="auto" w:val="clear"/>
          <w:lang w:val="it-IT" w:eastAsia="en-US" w:bidi="ar-SA"/>
        </w:rPr>
        <w:t>top up</w:t>
      </w:r>
      <w:r>
        <w:rPr>
          <w:rFonts w:eastAsia="Calibri" w:cs="Tahoma"/>
          <w:b/>
          <w:bCs/>
          <w:color w:val="000000"/>
          <w:kern w:val="0"/>
          <w:sz w:val="22"/>
          <w:szCs w:val="22"/>
          <w:shd w:fill="auto" w:val="clear"/>
          <w:lang w:val="it-IT" w:eastAsia="en-US" w:bidi="ar-SA"/>
        </w:rPr>
        <w:t xml:space="preserve"> a seguito delle dichiarazioni di spesa effettuate al 31.03.2025</w:t>
      </w:r>
    </w:p>
    <w:p>
      <w:pPr>
        <w:pStyle w:val="Normal"/>
        <w:numPr>
          <w:ilvl w:val="0"/>
          <w:numId w:val="2"/>
        </w:numPr>
        <w:jc w:val="both"/>
        <w:rPr>
          <w:color w:val="3465A4"/>
        </w:rPr>
      </w:pPr>
      <w:r>
        <w:rPr>
          <w:rFonts w:eastAsia="Calibri" w:cs="Tahoma"/>
          <w:b w:val="false"/>
          <w:bCs w:val="false"/>
          <w:color w:val="000000"/>
          <w:kern w:val="0"/>
          <w:sz w:val="22"/>
          <w:szCs w:val="22"/>
          <w:lang w:val="it-IT" w:eastAsia="en-US" w:bidi="ar-SA"/>
        </w:rPr>
        <w:t>Ai sensi dell’a</w:t>
      </w:r>
      <w:r>
        <w:rPr>
          <w:b w:val="false"/>
          <w:bCs w:val="false"/>
          <w:color w:val="000000"/>
        </w:rPr>
        <w:t>rticolo 23, paragrafo 1, del Regolamento (UE) n. 908/2014, la modifica dei tassi di cofinanziamento ha effetto dal primo giorno del trimestre successivo a quello di approvazione della stessa modifica; pertanto, dal momento che la Versione 17 del PSR 14-22 è stata approvata dalla Commissione in data 5 marzo 2025, le nuove percentuali sono state applicate a partire dal 1° aprile 2025.</w:t>
      </w:r>
    </w:p>
    <w:p>
      <w:pPr>
        <w:pStyle w:val="Normal"/>
        <w:numPr>
          <w:ilvl w:val="0"/>
          <w:numId w:val="2"/>
        </w:numPr>
        <w:jc w:val="both"/>
        <w:rPr>
          <w:color w:val="3465A4"/>
        </w:rPr>
      </w:pPr>
      <w:r>
        <w:rPr>
          <w:b w:val="false"/>
          <w:bCs w:val="false"/>
          <w:color w:val="000000"/>
        </w:rPr>
        <w:t xml:space="preserve">Al momento della predisposizione della proposta di modifica dei tassi (gennaio 2025), non si aveva conoscenza della soglia di spesa che si sarebbe raggiunta al 31.03.2025 e pertanto si è effettuata una stima,  calcolando gli importi di cofinanziato da modificare e da riallocare sui </w:t>
      </w:r>
      <w:r>
        <w:rPr>
          <w:b w:val="false"/>
          <w:bCs w:val="false"/>
          <w:i/>
          <w:iCs/>
          <w:color w:val="000000"/>
        </w:rPr>
        <w:t>top up</w:t>
      </w:r>
      <w:r>
        <w:rPr>
          <w:b w:val="false"/>
          <w:bCs w:val="false"/>
          <w:color w:val="000000"/>
        </w:rPr>
        <w:t xml:space="preserve">. </w:t>
      </w:r>
    </w:p>
    <w:p>
      <w:pPr>
        <w:pStyle w:val="Normal"/>
        <w:numPr>
          <w:ilvl w:val="0"/>
          <w:numId w:val="0"/>
        </w:numPr>
        <w:ind w:hanging="0" w:left="0"/>
        <w:jc w:val="both"/>
        <w:rPr>
          <w:color w:val="3465A4"/>
        </w:rPr>
      </w:pPr>
      <w:r>
        <w:rPr>
          <w:b w:val="false"/>
          <w:bCs w:val="false"/>
          <w:color w:val="000000"/>
        </w:rPr>
        <w:t>A seguito delle dichiarazioni di spesa effettuate al</w:t>
      </w:r>
      <w:r>
        <w:rPr>
          <w:b w:val="false"/>
          <w:bCs w:val="false"/>
          <w:color w:val="auto"/>
        </w:rPr>
        <w:t xml:space="preserve"> 31.03.2025 dall’Organismo pagatore Arpea, si è potuto rilevare l’ammontare di spesa effettivamente realizzato ed il cons</w:t>
      </w:r>
      <w:r>
        <w:rPr>
          <w:b w:val="false"/>
          <w:bCs w:val="false"/>
          <w:color w:val="000000"/>
        </w:rPr>
        <w:t xml:space="preserve">eguente residuo da spendere; è pertanto necessario riallineare la situazione, apportando alcuni aggiustamenti tecnici ai </w:t>
      </w:r>
      <w:r>
        <w:rPr>
          <w:b w:val="false"/>
          <w:bCs w:val="false"/>
          <w:i/>
          <w:iCs/>
          <w:color w:val="000000"/>
        </w:rPr>
        <w:t>top up</w:t>
      </w:r>
      <w:r>
        <w:rPr>
          <w:b w:val="false"/>
          <w:bCs w:val="false"/>
          <w:color w:val="000000"/>
        </w:rPr>
        <w:t xml:space="preserve"> vigenti nella Versione 17 del PSR.</w:t>
      </w:r>
    </w:p>
    <w:p>
      <w:pPr>
        <w:pStyle w:val="Normal"/>
        <w:jc w:val="both"/>
        <w:rPr>
          <w:color w:val="000000"/>
        </w:rPr>
      </w:pPr>
      <w:r>
        <w:rPr>
          <w:color w:val="000000"/>
        </w:rPr>
      </w:r>
    </w:p>
    <w:p>
      <w:pPr>
        <w:pStyle w:val="Normal"/>
        <w:jc w:val="both"/>
        <w:rPr>
          <w:color w:val="000000"/>
        </w:rPr>
      </w:pPr>
      <w:r>
        <w:rPr>
          <w:color w:val="000000"/>
        </w:rPr>
      </w:r>
    </w:p>
    <w:p>
      <w:pPr>
        <w:pStyle w:val="Normal"/>
        <w:jc w:val="both"/>
        <w:rPr>
          <w:color w:val="000000"/>
        </w:rPr>
      </w:pPr>
      <w:r>
        <w:rPr>
          <w:color w:val="000000"/>
        </w:rPr>
      </w:r>
    </w:p>
    <w:p>
      <w:pPr>
        <w:pStyle w:val="Normal"/>
        <w:jc w:val="both"/>
        <w:rPr>
          <w:color w:val="000000"/>
        </w:rPr>
      </w:pPr>
      <w:r>
        <w:rPr>
          <w:color w:val="000000"/>
        </w:rPr>
      </w:r>
    </w:p>
    <w:p>
      <w:pPr>
        <w:pStyle w:val="Normal"/>
        <w:jc w:val="both"/>
        <w:rPr>
          <w:highlight w:val="none"/>
          <w:shd w:fill="auto" w:val="clear"/>
        </w:rPr>
      </w:pPr>
      <w:r>
        <w:rPr>
          <w:b/>
          <w:bCs/>
          <w:color w:val="000000"/>
          <w:shd w:fill="auto" w:val="clear"/>
        </w:rPr>
        <w:t>2) Spostamenti di dotazione cofinanziata tra misure (riutilizzo economie)</w:t>
      </w:r>
    </w:p>
    <w:p>
      <w:pPr>
        <w:pStyle w:val="Normal"/>
        <w:spacing w:before="0" w:after="283"/>
        <w:jc w:val="both"/>
        <w:rPr>
          <w:b w:val="false"/>
          <w:bCs w:val="false"/>
          <w:highlight w:val="none"/>
          <w:shd w:fill="auto" w:val="clear"/>
        </w:rPr>
      </w:pPr>
      <w:r>
        <w:rPr>
          <w:b w:val="false"/>
          <w:bCs w:val="false"/>
          <w:color w:val="000000"/>
          <w:shd w:fill="auto" w:val="clear"/>
        </w:rPr>
        <w:t>A pochi mesi dalla chiusura della programmazione, si rileva che su alcune misure residuano risorse derivanti da minori spese; essendo chiaramente tali economie non più spendibili attraverso nuovi bandi, si ritiene di riallocarle su altre misure che presentano ancora capacità di spesa, al fine di massimizzare l’utilizzo complessivo dei fondi. Nel dettaglio:</w:t>
      </w:r>
    </w:p>
    <w:p>
      <w:pPr>
        <w:pStyle w:val="Normal"/>
        <w:numPr>
          <w:ilvl w:val="0"/>
          <w:numId w:val="2"/>
        </w:numPr>
        <w:spacing w:lineRule="auto" w:line="240"/>
        <w:jc w:val="both"/>
        <w:rPr>
          <w:highlight w:val="none"/>
          <w:shd w:fill="auto" w:val="clear"/>
        </w:rPr>
      </w:pPr>
      <w:r>
        <w:rPr>
          <w:b w:val="false"/>
          <w:bCs w:val="false"/>
          <w:i/>
          <w:iCs/>
          <w:color w:val="000000"/>
          <w:u w:val="single"/>
          <w:shd w:fill="auto" w:val="clear"/>
        </w:rPr>
        <w:t>A) Misure che cedono risorse:</w:t>
      </w:r>
      <w:r>
        <w:rPr>
          <w:b w:val="false"/>
          <w:bCs w:val="false"/>
          <w:color w:val="000000"/>
          <w:u w:val="none"/>
          <w:shd w:fill="auto" w:val="clear"/>
        </w:rPr>
        <w:t xml:space="preserve"> </w:t>
      </w:r>
    </w:p>
    <w:p>
      <w:pPr>
        <w:pStyle w:val="Normal"/>
        <w:numPr>
          <w:ilvl w:val="0"/>
          <w:numId w:val="3"/>
        </w:numPr>
        <w:spacing w:lineRule="auto" w:line="276" w:before="0" w:after="0"/>
        <w:jc w:val="both"/>
        <w:rPr>
          <w:highlight w:val="none"/>
          <w:shd w:fill="auto" w:val="clear"/>
        </w:rPr>
      </w:pPr>
      <w:r>
        <w:rPr>
          <w:b w:val="false"/>
          <w:bCs w:val="false"/>
          <w:color w:val="000000"/>
          <w:shd w:fill="auto" w:val="clear"/>
        </w:rPr>
        <w:t xml:space="preserve">M 2 “Consulenza”, </w:t>
      </w:r>
    </w:p>
    <w:p>
      <w:pPr>
        <w:pStyle w:val="Normal"/>
        <w:numPr>
          <w:ilvl w:val="0"/>
          <w:numId w:val="3"/>
        </w:numPr>
        <w:spacing w:lineRule="auto" w:line="276" w:before="0" w:after="0"/>
        <w:jc w:val="both"/>
        <w:rPr>
          <w:highlight w:val="none"/>
          <w:shd w:fill="auto" w:val="clear"/>
        </w:rPr>
      </w:pPr>
      <w:r>
        <w:rPr>
          <w:b w:val="false"/>
          <w:bCs w:val="false"/>
          <w:color w:val="000000"/>
          <w:shd w:fill="auto" w:val="clear"/>
        </w:rPr>
        <w:t xml:space="preserve">M 3 “Regimi di qualità”, </w:t>
      </w:r>
    </w:p>
    <w:p>
      <w:pPr>
        <w:pStyle w:val="Normal"/>
        <w:numPr>
          <w:ilvl w:val="0"/>
          <w:numId w:val="3"/>
        </w:numPr>
        <w:spacing w:lineRule="auto" w:line="276" w:before="0" w:after="0"/>
        <w:jc w:val="both"/>
        <w:rPr>
          <w:highlight w:val="none"/>
          <w:shd w:fill="auto" w:val="clear"/>
        </w:rPr>
      </w:pPr>
      <w:r>
        <w:rPr>
          <w:b w:val="false"/>
          <w:bCs w:val="false"/>
          <w:color w:val="000000"/>
          <w:shd w:fill="auto" w:val="clear"/>
        </w:rPr>
        <w:t xml:space="preserve">M 4 “Investimenti in immobilizzazioni materiali”, </w:t>
      </w:r>
    </w:p>
    <w:p>
      <w:pPr>
        <w:pStyle w:val="Normal"/>
        <w:numPr>
          <w:ilvl w:val="0"/>
          <w:numId w:val="3"/>
        </w:numPr>
        <w:spacing w:lineRule="auto" w:line="276" w:before="0" w:after="0"/>
        <w:jc w:val="both"/>
        <w:rPr>
          <w:highlight w:val="none"/>
          <w:shd w:fill="auto" w:val="clear"/>
        </w:rPr>
      </w:pPr>
      <w:r>
        <w:rPr>
          <w:b w:val="false"/>
          <w:bCs w:val="false"/>
          <w:color w:val="000000"/>
          <w:shd w:fill="auto" w:val="clear"/>
        </w:rPr>
        <w:t xml:space="preserve">M 5 “Prevenzione calamità in ambito agricolo”, </w:t>
      </w:r>
    </w:p>
    <w:p>
      <w:pPr>
        <w:pStyle w:val="Normal"/>
        <w:numPr>
          <w:ilvl w:val="0"/>
          <w:numId w:val="3"/>
        </w:numPr>
        <w:jc w:val="both"/>
        <w:rPr>
          <w:highlight w:val="none"/>
          <w:shd w:fill="auto" w:val="clear"/>
        </w:rPr>
      </w:pPr>
      <w:r>
        <w:rPr>
          <w:b w:val="false"/>
          <w:bCs w:val="false"/>
          <w:color w:val="000000"/>
          <w:shd w:fill="auto" w:val="clear"/>
        </w:rPr>
        <w:t xml:space="preserve">M 6.4.1 “Diversificazione in attività extra-agricole”. </w:t>
      </w:r>
    </w:p>
    <w:p>
      <w:pPr>
        <w:pStyle w:val="Normal"/>
        <w:numPr>
          <w:ilvl w:val="0"/>
          <w:numId w:val="2"/>
        </w:numPr>
        <w:spacing w:lineRule="auto" w:line="276" w:before="0" w:after="0"/>
        <w:jc w:val="both"/>
        <w:rPr>
          <w:highlight w:val="none"/>
          <w:shd w:fill="auto" w:val="clear"/>
        </w:rPr>
      </w:pPr>
      <w:r>
        <w:rPr>
          <w:b w:val="false"/>
          <w:bCs w:val="false"/>
          <w:strike w:val="false"/>
          <w:dstrike w:val="false"/>
          <w:color w:val="000000"/>
          <w:u w:val="none"/>
          <w:shd w:fill="auto" w:val="clear"/>
        </w:rPr>
        <w:t>Tali m</w:t>
      </w:r>
      <w:r>
        <w:rPr>
          <w:b w:val="false"/>
          <w:bCs w:val="false"/>
          <w:strike w:val="false"/>
          <w:dstrike w:val="false"/>
          <w:color w:val="000000"/>
          <w:shd w:fill="auto" w:val="clear"/>
        </w:rPr>
        <w:t>isure hanno terminato i pagamenti, o sono in procinto di terminarli, e hanno registrato minori spese, avanzando fondi cofinanziati non più riutilizzabili al loro interno.</w:t>
      </w:r>
    </w:p>
    <w:p>
      <w:pPr>
        <w:pStyle w:val="Normal"/>
        <w:numPr>
          <w:ilvl w:val="0"/>
          <w:numId w:val="2"/>
        </w:numPr>
        <w:spacing w:lineRule="auto" w:line="276" w:before="0" w:after="159"/>
        <w:jc w:val="both"/>
        <w:rPr>
          <w:b w:val="false"/>
          <w:bCs w:val="false"/>
          <w:i/>
          <w:i/>
          <w:iCs/>
          <w:strike w:val="false"/>
          <w:dstrike w:val="false"/>
          <w:color w:val="000000"/>
          <w:sz w:val="12"/>
          <w:szCs w:val="12"/>
          <w:highlight w:val="none"/>
          <w:u w:val="single"/>
          <w:shd w:fill="FFB6C1" w:val="clear"/>
        </w:rPr>
      </w:pPr>
      <w:r>
        <w:rPr>
          <w:b w:val="false"/>
          <w:bCs w:val="false"/>
          <w:i/>
          <w:iCs/>
          <w:strike w:val="false"/>
          <w:dstrike w:val="false"/>
          <w:color w:val="000000"/>
          <w:sz w:val="12"/>
          <w:szCs w:val="12"/>
          <w:u w:val="single"/>
          <w:shd w:fill="FFB6C1" w:val="clear"/>
        </w:rPr>
      </w:r>
    </w:p>
    <w:p>
      <w:pPr>
        <w:pStyle w:val="Normal"/>
        <w:numPr>
          <w:ilvl w:val="0"/>
          <w:numId w:val="2"/>
        </w:numPr>
        <w:spacing w:lineRule="auto" w:line="276" w:before="0" w:after="159"/>
        <w:jc w:val="both"/>
        <w:rPr/>
      </w:pPr>
      <w:r>
        <w:rPr>
          <w:b w:val="false"/>
          <w:bCs w:val="false"/>
          <w:i/>
          <w:iCs/>
          <w:strike w:val="false"/>
          <w:dstrike w:val="false"/>
          <w:color w:val="000000"/>
          <w:u w:val="single"/>
          <w:shd w:fill="auto" w:val="clear"/>
        </w:rPr>
        <w:t>B) Misure che acquisiscono risorse:</w:t>
      </w:r>
    </w:p>
    <w:p>
      <w:pPr>
        <w:pStyle w:val="Normal"/>
        <w:numPr>
          <w:ilvl w:val="0"/>
          <w:numId w:val="4"/>
        </w:numPr>
        <w:spacing w:lineRule="auto" w:line="276" w:before="0" w:after="0"/>
        <w:jc w:val="both"/>
        <w:rPr>
          <w:rFonts w:ascii="Calibri" w:hAnsi="Calibri" w:eastAsia="Calibri" w:cs="Tahoma"/>
          <w:color w:val="000000"/>
          <w:kern w:val="0"/>
          <w:sz w:val="22"/>
          <w:szCs w:val="22"/>
          <w:highlight w:val="none"/>
          <w:shd w:fill="auto" w:val="clear"/>
          <w:lang w:val="it-IT" w:eastAsia="en-US" w:bidi="ar-SA"/>
        </w:rPr>
      </w:pPr>
      <w:r>
        <w:rPr>
          <w:rFonts w:eastAsia="Calibri" w:cs="Tahoma"/>
          <w:color w:val="000000"/>
          <w:kern w:val="0"/>
          <w:sz w:val="22"/>
          <w:szCs w:val="22"/>
          <w:shd w:fill="auto" w:val="clear"/>
          <w:lang w:val="it-IT" w:eastAsia="en-US" w:bidi="ar-SA"/>
        </w:rPr>
        <w:t>M 6.1.1 “Insediamento giovani agricoltori”,</w:t>
      </w:r>
    </w:p>
    <w:p>
      <w:pPr>
        <w:pStyle w:val="Normal"/>
        <w:numPr>
          <w:ilvl w:val="0"/>
          <w:numId w:val="4"/>
        </w:numPr>
        <w:spacing w:lineRule="auto" w:line="276" w:before="0" w:after="0"/>
        <w:jc w:val="both"/>
        <w:rPr>
          <w:rFonts w:ascii="Calibri" w:hAnsi="Calibri" w:eastAsia="Calibri" w:cs="Tahoma"/>
          <w:color w:val="auto"/>
          <w:kern w:val="0"/>
          <w:sz w:val="22"/>
          <w:szCs w:val="22"/>
          <w:highlight w:val="none"/>
          <w:shd w:fill="auto" w:val="clear"/>
          <w:lang w:val="it-IT" w:eastAsia="en-US" w:bidi="ar-SA"/>
        </w:rPr>
      </w:pPr>
      <w:r>
        <w:rPr>
          <w:rFonts w:eastAsia="Calibri" w:cs="Tahoma"/>
          <w:color w:val="000000"/>
          <w:kern w:val="0"/>
          <w:sz w:val="22"/>
          <w:szCs w:val="22"/>
          <w:shd w:fill="auto" w:val="clear"/>
          <w:lang w:val="it-IT" w:eastAsia="en-US" w:bidi="ar-SA"/>
        </w:rPr>
        <w:t xml:space="preserve">M 16 “Cooperazione” </w:t>
      </w:r>
    </w:p>
    <w:p>
      <w:pPr>
        <w:pStyle w:val="Normal"/>
        <w:numPr>
          <w:ilvl w:val="0"/>
          <w:numId w:val="4"/>
        </w:numPr>
        <w:jc w:val="both"/>
        <w:rPr>
          <w:rFonts w:ascii="Calibri" w:hAnsi="Calibri" w:eastAsia="Calibri" w:cs="Tahoma"/>
          <w:color w:val="000000"/>
          <w:kern w:val="0"/>
          <w:sz w:val="22"/>
          <w:szCs w:val="22"/>
          <w:highlight w:val="none"/>
          <w:shd w:fill="auto" w:val="clear"/>
          <w:lang w:val="it-IT" w:eastAsia="en-US" w:bidi="ar-SA"/>
        </w:rPr>
      </w:pPr>
      <w:r>
        <w:rPr>
          <w:rFonts w:eastAsia="Calibri" w:cs="Tahoma"/>
          <w:color w:val="000000"/>
          <w:kern w:val="0"/>
          <w:sz w:val="22"/>
          <w:szCs w:val="22"/>
          <w:shd w:fill="auto" w:val="clear"/>
          <w:lang w:val="it-IT" w:eastAsia="en-US" w:bidi="ar-SA"/>
        </w:rPr>
        <w:t>M 19 “Leader”.</w:t>
      </w:r>
    </w:p>
    <w:p>
      <w:pPr>
        <w:pStyle w:val="Normal"/>
        <w:numPr>
          <w:ilvl w:val="0"/>
          <w:numId w:val="2"/>
        </w:numPr>
        <w:jc w:val="both"/>
        <w:rPr>
          <w:highlight w:val="none"/>
          <w:shd w:fill="auto" w:val="clear"/>
        </w:rPr>
      </w:pPr>
      <w:r>
        <w:rPr>
          <w:b w:val="false"/>
          <w:bCs w:val="false"/>
          <w:strike w:val="false"/>
          <w:dstrike w:val="false"/>
          <w:color w:val="000000"/>
          <w:shd w:fill="auto" w:val="clear"/>
        </w:rPr>
        <w:t>Le suddette misure stanno invece terminando il cofinanziato a disposizione, ma al contempo hanno ancora un cospicuo numero di domande in istruttoria da pagare e pertanto si prestano a poter assorbire il cofinanziato avanzato dalle misure di cui al punto A.</w:t>
      </w:r>
    </w:p>
    <w:p>
      <w:pPr>
        <w:pStyle w:val="Normal"/>
        <w:jc w:val="both"/>
        <w:rPr>
          <w:highlight w:val="none"/>
          <w:shd w:fill="auto" w:val="clear"/>
        </w:rPr>
      </w:pPr>
      <w:r>
        <w:rPr>
          <w:shd w:fill="auto" w:val="clear"/>
        </w:rPr>
      </w:r>
    </w:p>
    <w:p>
      <w:pPr>
        <w:pStyle w:val="Normal"/>
        <w:jc w:val="both"/>
        <w:rPr>
          <w:highlight w:val="none"/>
          <w:shd w:fill="auto" w:val="clear"/>
        </w:rPr>
      </w:pPr>
      <w:r>
        <w:rPr>
          <w:shd w:fill="auto" w:val="clear"/>
        </w:rPr>
      </w:r>
    </w:p>
    <w:p>
      <w:pPr>
        <w:pStyle w:val="Normal"/>
        <w:jc w:val="both"/>
        <w:rPr>
          <w:highlight w:val="none"/>
          <w:shd w:fill="auto" w:val="clear"/>
        </w:rPr>
      </w:pPr>
      <w:r>
        <w:rPr>
          <w:shd w:fill="auto" w:val="clear"/>
        </w:rPr>
      </w:r>
    </w:p>
    <w:p>
      <w:pPr>
        <w:pStyle w:val="Normal"/>
        <w:numPr>
          <w:ilvl w:val="0"/>
          <w:numId w:val="2"/>
        </w:numPr>
        <w:jc w:val="both"/>
        <w:rPr>
          <w:highlight w:val="none"/>
          <w:shd w:fill="auto" w:val="clear"/>
        </w:rPr>
      </w:pPr>
      <w:r>
        <w:rPr>
          <w:b/>
          <w:bCs/>
          <w:color w:val="000000"/>
          <w:shd w:fill="auto" w:val="clear"/>
        </w:rPr>
        <w:t xml:space="preserve">3) Switch tra fondi (cofinanziato - </w:t>
      </w:r>
      <w:r>
        <w:rPr>
          <w:b/>
          <w:bCs/>
          <w:i/>
          <w:iCs/>
          <w:color w:val="000000"/>
          <w:shd w:fill="auto" w:val="clear"/>
        </w:rPr>
        <w:t>top up</w:t>
      </w:r>
      <w:r>
        <w:rPr>
          <w:b/>
          <w:bCs/>
          <w:color w:val="000000"/>
          <w:shd w:fill="auto" w:val="clear"/>
        </w:rPr>
        <w:t>)</w:t>
      </w:r>
    </w:p>
    <w:p>
      <w:pPr>
        <w:pStyle w:val="Normal"/>
        <w:numPr>
          <w:ilvl w:val="0"/>
          <w:numId w:val="2"/>
        </w:numPr>
        <w:jc w:val="both"/>
        <w:rPr/>
      </w:pPr>
      <w:r>
        <w:rPr>
          <w:rFonts w:eastAsia="Calibri" w:cs="Tahoma"/>
          <w:b w:val="false"/>
          <w:bCs w:val="false"/>
          <w:color w:val="000000"/>
          <w:kern w:val="0"/>
          <w:sz w:val="22"/>
          <w:szCs w:val="22"/>
          <w:shd w:fill="auto" w:val="clear"/>
          <w:lang w:val="it-IT" w:eastAsia="en-US" w:bidi="ar-SA"/>
        </w:rPr>
        <w:t xml:space="preserve">Al fine di </w:t>
      </w:r>
      <w:r>
        <w:rPr>
          <w:rStyle w:val="A0"/>
          <w:rFonts w:eastAsia="Calibri" w:cs="Tahoma"/>
          <w:b w:val="false"/>
          <w:bCs w:val="false"/>
          <w:color w:val="000000"/>
          <w:kern w:val="0"/>
          <w:sz w:val="22"/>
          <w:szCs w:val="22"/>
          <w:shd w:fill="auto" w:val="clear"/>
          <w:lang w:val="it-IT" w:eastAsia="en-US" w:bidi="ar-SA"/>
        </w:rPr>
        <w:t xml:space="preserve">accelerare la spesa della quota FEASR, massimizzandone l’utilizzo, vengono effettuati alcuni </w:t>
      </w:r>
      <w:r>
        <w:rPr>
          <w:rStyle w:val="A0"/>
          <w:rFonts w:eastAsia="Calibri" w:cs="Tahoma"/>
          <w:b w:val="false"/>
          <w:bCs w:val="false"/>
          <w:i/>
          <w:iCs/>
          <w:color w:val="000000"/>
          <w:kern w:val="0"/>
          <w:sz w:val="22"/>
          <w:szCs w:val="22"/>
          <w:shd w:fill="auto" w:val="clear"/>
          <w:lang w:val="it-IT" w:eastAsia="en-US" w:bidi="ar-SA"/>
        </w:rPr>
        <w:t>switch</w:t>
      </w:r>
      <w:r>
        <w:rPr>
          <w:rStyle w:val="A0"/>
          <w:rFonts w:eastAsia="Calibri" w:cs="Tahoma"/>
          <w:b w:val="false"/>
          <w:bCs w:val="false"/>
          <w:color w:val="000000"/>
          <w:kern w:val="0"/>
          <w:sz w:val="22"/>
          <w:szCs w:val="22"/>
          <w:shd w:fill="auto" w:val="clear"/>
          <w:lang w:val="it-IT" w:eastAsia="en-US" w:bidi="ar-SA"/>
        </w:rPr>
        <w:t xml:space="preserve"> tra fondi cofinanziati e </w:t>
      </w:r>
      <w:r>
        <w:rPr>
          <w:rStyle w:val="A0"/>
          <w:rFonts w:eastAsia="Calibri" w:cs="Tahoma"/>
          <w:b w:val="false"/>
          <w:bCs w:val="false"/>
          <w:i/>
          <w:iCs/>
          <w:color w:val="000000"/>
          <w:kern w:val="0"/>
          <w:sz w:val="22"/>
          <w:szCs w:val="22"/>
          <w:shd w:fill="auto" w:val="clear"/>
          <w:lang w:val="it-IT" w:eastAsia="en-US" w:bidi="ar-SA"/>
        </w:rPr>
        <w:t>top up</w:t>
      </w:r>
      <w:r>
        <w:rPr>
          <w:rStyle w:val="A0"/>
          <w:rFonts w:eastAsia="Calibri" w:cs="Tahoma"/>
          <w:b w:val="false"/>
          <w:bCs w:val="false"/>
          <w:color w:val="000000"/>
          <w:kern w:val="0"/>
          <w:sz w:val="22"/>
          <w:szCs w:val="22"/>
          <w:shd w:fill="auto" w:val="clear"/>
          <w:lang w:val="it-IT" w:eastAsia="en-US" w:bidi="ar-SA"/>
        </w:rPr>
        <w:t xml:space="preserve">. Tali modifiche riguardano due </w:t>
      </w:r>
      <w:r>
        <w:rPr>
          <w:b w:val="false"/>
          <w:bCs w:val="false"/>
          <w:color w:val="000000"/>
          <w:u w:val="none"/>
          <w:shd w:fill="auto" w:val="clear"/>
        </w:rPr>
        <w:t>differenti casistiche:</w:t>
      </w:r>
    </w:p>
    <w:p>
      <w:pPr>
        <w:pStyle w:val="Normal"/>
        <w:numPr>
          <w:ilvl w:val="0"/>
          <w:numId w:val="5"/>
        </w:numPr>
        <w:jc w:val="both"/>
        <w:rPr>
          <w:highlight w:val="none"/>
          <w:shd w:fill="auto" w:val="clear"/>
        </w:rPr>
      </w:pPr>
      <w:r>
        <w:rPr>
          <w:b w:val="false"/>
          <w:bCs w:val="false"/>
          <w:color w:val="000000"/>
          <w:shd w:fill="auto" w:val="clear"/>
        </w:rPr>
        <w:t xml:space="preserve">M 8 “Investimenti nelle foreste”, che presenta un’elevata probabilità di dover portare in transizione alcune pratiche sul CSR 23-27 e quindi cede cofinanziato, acquisendo in egual misura fondi </w:t>
      </w:r>
      <w:r>
        <w:rPr>
          <w:b w:val="false"/>
          <w:bCs w:val="false"/>
          <w:i/>
          <w:iCs/>
          <w:color w:val="000000"/>
          <w:shd w:fill="auto" w:val="clear"/>
        </w:rPr>
        <w:t>top-up</w:t>
      </w:r>
      <w:r>
        <w:rPr>
          <w:b w:val="false"/>
          <w:bCs w:val="false"/>
          <w:color w:val="000000"/>
          <w:shd w:fill="auto" w:val="clear"/>
        </w:rPr>
        <w:t xml:space="preserve"> che possano garantire il trascinamento sulla nuova programmazione.</w:t>
      </w:r>
    </w:p>
    <w:p>
      <w:pPr>
        <w:pStyle w:val="Normal"/>
        <w:numPr>
          <w:ilvl w:val="0"/>
          <w:numId w:val="5"/>
        </w:numPr>
        <w:jc w:val="both"/>
        <w:rPr>
          <w:highlight w:val="none"/>
          <w:shd w:fill="auto" w:val="clear"/>
        </w:rPr>
      </w:pPr>
      <w:r>
        <w:rPr>
          <w:b w:val="false"/>
          <w:bCs w:val="false"/>
          <w:color w:val="000000"/>
          <w:shd w:fill="auto" w:val="clear"/>
        </w:rPr>
        <w:t>Misure a premio: M 10 “Pagamenti agroambientali”, M 11 “Agricoltura biologica” e M 13 “Indennità compensativa zone montane”, che hanno quasi completato i pagamenti e pertanto possono cedere i fondi cofinanziati residui; tuttavia, trattandosi di un elevato numero di domande la cui istruttoria si è conclusa solo a giugno e su cui sono ancora possibili ricorsi e/o presentazione di controdeduzioni, si ritiene opportuno inserire, a garanzia della copertura finanziaria, un uguale impor</w:t>
      </w:r>
      <w:r>
        <w:rPr>
          <w:b w:val="false"/>
          <w:bCs w:val="false"/>
          <w:color w:val="000000"/>
          <w:u w:val="none"/>
          <w:shd w:fill="auto" w:val="clear"/>
        </w:rPr>
        <w:t xml:space="preserve">to di </w:t>
      </w:r>
      <w:r>
        <w:rPr>
          <w:b w:val="false"/>
          <w:bCs w:val="false"/>
          <w:i/>
          <w:iCs/>
          <w:color w:val="000000"/>
          <w:shd w:fill="auto" w:val="clear"/>
        </w:rPr>
        <w:t>top up</w:t>
      </w:r>
      <w:r>
        <w:rPr>
          <w:b w:val="false"/>
          <w:bCs w:val="false"/>
          <w:color w:val="000000"/>
          <w:shd w:fill="auto" w:val="clear"/>
        </w:rPr>
        <w:t xml:space="preserve"> aggiuntivi.</w:t>
      </w:r>
    </w:p>
    <w:p>
      <w:pPr>
        <w:pStyle w:val="Normal"/>
        <w:jc w:val="center"/>
        <w:rPr>
          <w:rFonts w:ascii="Calibri" w:hAnsi="Calibri" w:eastAsia="Calibri" w:cs="Tahoma"/>
          <w:b/>
          <w:bCs/>
          <w:color w:val="000000"/>
          <w:kern w:val="0"/>
          <w:sz w:val="22"/>
          <w:szCs w:val="22"/>
          <w:lang w:val="it-IT" w:eastAsia="en-US" w:bidi="ar-SA"/>
        </w:rPr>
      </w:pPr>
      <w:r>
        <w:rPr>
          <w:rFonts w:eastAsia="Calibri" w:cs="Tahoma"/>
          <w:b/>
          <w:bCs/>
          <w:color w:val="000000"/>
          <w:kern w:val="0"/>
          <w:sz w:val="22"/>
          <w:szCs w:val="22"/>
          <w:lang w:val="it-IT" w:eastAsia="en-US" w:bidi="ar-SA"/>
        </w:rPr>
      </w:r>
    </w:p>
    <w:p>
      <w:pPr>
        <w:pStyle w:val="Normal"/>
        <w:jc w:val="center"/>
        <w:rPr>
          <w:rFonts w:ascii="Calibri" w:hAnsi="Calibri" w:eastAsia="Calibri" w:cs="Tahoma"/>
          <w:b/>
          <w:bCs/>
          <w:color w:val="000000"/>
          <w:kern w:val="0"/>
          <w:sz w:val="22"/>
          <w:szCs w:val="22"/>
          <w:lang w:val="it-IT" w:eastAsia="en-US" w:bidi="ar-SA"/>
        </w:rPr>
      </w:pPr>
      <w:r>
        <w:rPr>
          <w:rFonts w:eastAsia="Calibri" w:cs="Tahoma"/>
          <w:b/>
          <w:bCs/>
          <w:color w:val="000000"/>
          <w:kern w:val="0"/>
          <w:sz w:val="22"/>
          <w:szCs w:val="22"/>
          <w:lang w:val="it-IT" w:eastAsia="en-US" w:bidi="ar-SA"/>
        </w:rPr>
      </w:r>
    </w:p>
    <w:p>
      <w:pPr>
        <w:pStyle w:val="Normal"/>
        <w:jc w:val="center"/>
        <w:rPr>
          <w:rFonts w:ascii="Calibri" w:hAnsi="Calibri" w:eastAsia="Calibri" w:cs="Tahoma"/>
          <w:b/>
          <w:bCs/>
          <w:color w:val="000000"/>
          <w:kern w:val="0"/>
          <w:sz w:val="22"/>
          <w:szCs w:val="22"/>
          <w:lang w:val="it-IT" w:eastAsia="en-US" w:bidi="ar-SA"/>
        </w:rPr>
      </w:pPr>
      <w:r>
        <w:rPr>
          <w:rFonts w:eastAsia="Calibri" w:cs="Tahoma"/>
          <w:b/>
          <w:bCs/>
          <w:color w:val="000000"/>
          <w:kern w:val="0"/>
          <w:sz w:val="22"/>
          <w:szCs w:val="22"/>
          <w:lang w:val="it-IT" w:eastAsia="en-US" w:bidi="ar-SA"/>
        </w:rPr>
      </w:r>
    </w:p>
    <w:p>
      <w:pPr>
        <w:pStyle w:val="Normal"/>
        <w:numPr>
          <w:ilvl w:val="0"/>
          <w:numId w:val="0"/>
        </w:numPr>
        <w:spacing w:before="0" w:after="103"/>
        <w:ind w:hanging="0" w:left="0"/>
        <w:jc w:val="both"/>
        <w:rPr>
          <w:i/>
          <w:i/>
          <w:iCs/>
        </w:rPr>
      </w:pPr>
      <w:r>
        <w:rPr>
          <w:b w:val="false"/>
          <w:bCs w:val="false"/>
          <w:i/>
          <w:iCs/>
          <w:color w:val="000000"/>
        </w:rPr>
        <w:t xml:space="preserve">E’ importante precisare che, poiché la presente modifica comporta uno spostamento di fondi tra operazioni con diverse percentuali di cofinanziamento, si crea un disallineamento tra la Versione 17 e la Versione 18 del PSR in termini di spesa cofinanziata: per compensare tale differenza, vengono utilizzati i top up. In sostanza, la quota nazionale (regionale più statale) “risparmiata” viene riattribuita come top up sullo stesso PSR, così da preservare l’ambizione finanziaria e ambientale del programma, senza compromettere gli obiettivi prefissati. </w:t>
      </w:r>
      <w:r>
        <w:rPr>
          <w:i/>
          <w:iCs/>
          <w:color w:val="000000"/>
          <w:u w:val="single"/>
        </w:rPr>
        <w:t>Tali variazioni pertanto non modificano la dotazione complessiva del PSR.</w:t>
      </w:r>
    </w:p>
    <w:p>
      <w:pPr>
        <w:pStyle w:val="Normal"/>
        <w:jc w:val="both"/>
        <w:rPr>
          <w:color w:val="000000"/>
          <w:highlight w:val="none"/>
          <w:shd w:fill="FFFF00" w:val="clear"/>
        </w:rPr>
      </w:pPr>
      <w:r>
        <w:rPr>
          <w:color w:val="000000"/>
          <w:shd w:fill="FFFF00" w:val="clear"/>
        </w:rPr>
      </w:r>
    </w:p>
    <w:p>
      <w:pPr>
        <w:pStyle w:val="Normal"/>
        <w:jc w:val="both"/>
        <w:rPr>
          <w:color w:val="000000"/>
          <w:highlight w:val="none"/>
          <w:shd w:fill="FFFF00" w:val="clear"/>
        </w:rPr>
      </w:pPr>
      <w:r>
        <w:rPr>
          <w:color w:val="000000"/>
          <w:shd w:fill="FFFF00" w:val="clear"/>
        </w:rPr>
      </w:r>
    </w:p>
    <w:p>
      <w:pPr>
        <w:pStyle w:val="Normal"/>
        <w:rPr>
          <w:b/>
          <w:sz w:val="28"/>
          <w:szCs w:val="28"/>
        </w:rPr>
      </w:pPr>
      <w:r>
        <w:rPr>
          <w:b/>
          <w:sz w:val="28"/>
          <w:szCs w:val="28"/>
        </w:rPr>
        <w:t>Descrizione delle modifiche proposte</w:t>
      </w:r>
    </w:p>
    <w:p>
      <w:pPr>
        <w:pStyle w:val="Normal"/>
        <w:rPr/>
      </w:pPr>
      <w:r>
        <w:rPr>
          <w:b w:val="false"/>
          <w:bCs w:val="false"/>
        </w:rPr>
        <w:t>Per le motivazioni sopra descritte si propongono le seguenti modifiche sulle differenti tipologie di fondi:</w:t>
      </w:r>
    </w:p>
    <w:p>
      <w:pPr>
        <w:pStyle w:val="Normal"/>
        <w:jc w:val="both"/>
        <w:rPr/>
      </w:pPr>
      <w:r>
        <w:rPr>
          <w:b w:val="false"/>
          <w:bCs w:val="false"/>
        </w:rPr>
        <w:t xml:space="preserve">- Variazioni tecniche </w:t>
      </w:r>
      <w:r>
        <w:rPr>
          <w:b w:val="false"/>
          <w:bCs w:val="false"/>
          <w:color w:val="000000"/>
        </w:rPr>
        <w:t xml:space="preserve">ai </w:t>
      </w:r>
      <w:r>
        <w:rPr>
          <w:b w:val="false"/>
          <w:bCs w:val="false"/>
          <w:i/>
          <w:iCs/>
          <w:color w:val="000000"/>
        </w:rPr>
        <w:t>top up</w:t>
      </w:r>
      <w:r>
        <w:rPr>
          <w:b w:val="false"/>
          <w:bCs w:val="false"/>
          <w:color w:val="000000"/>
        </w:rPr>
        <w:t xml:space="preserve"> vigenti nella Versione 17 del PSR </w:t>
      </w:r>
      <w:r>
        <w:rPr>
          <w:b w:val="false"/>
          <w:bCs w:val="false"/>
        </w:rPr>
        <w:t>a</w:t>
      </w:r>
      <w:r>
        <w:rPr>
          <w:b w:val="false"/>
          <w:bCs w:val="false"/>
          <w:color w:val="000000"/>
        </w:rPr>
        <w:t xml:space="preserve"> seguito delle dichiarazioni di spesa effettuate al</w:t>
      </w:r>
      <w:r>
        <w:rPr>
          <w:b w:val="false"/>
          <w:bCs w:val="false"/>
          <w:color w:val="auto"/>
        </w:rPr>
        <w:t xml:space="preserve"> 31.03.2025.</w:t>
      </w:r>
    </w:p>
    <w:p>
      <w:pPr>
        <w:pStyle w:val="Normal"/>
        <w:jc w:val="both"/>
        <w:rPr/>
      </w:pPr>
      <w:r>
        <w:rPr>
          <w:b w:val="false"/>
          <w:bCs w:val="false"/>
        </w:rPr>
        <w:t>- Storni da diverse operazioni per un importo complessivo pari a ca.</w:t>
      </w:r>
      <w:r>
        <w:rPr>
          <w:b w:val="false"/>
          <w:bCs w:val="false"/>
          <w:color w:val="auto"/>
        </w:rPr>
        <w:t xml:space="preserve"> 6,5 M€ di </w:t>
      </w:r>
      <w:r>
        <w:rPr>
          <w:b w:val="false"/>
          <w:bCs w:val="false"/>
        </w:rPr>
        <w:t>quota FEASR, destinato a finanziare le domande relative a M 6.1.1, M 16 ed M 19, che hanno ancora la possibilità di assorbire proficuamente il cofinanziato residuo.</w:t>
      </w:r>
    </w:p>
    <w:p>
      <w:pPr>
        <w:pStyle w:val="Normal"/>
        <w:jc w:val="both"/>
        <w:rPr>
          <w:b w:val="false"/>
          <w:bCs w:val="false"/>
          <w:highlight w:val="none"/>
          <w:shd w:fill="auto" w:val="clear"/>
        </w:rPr>
      </w:pPr>
      <w:r>
        <w:rPr>
          <w:b w:val="false"/>
          <w:bCs w:val="false"/>
          <w:shd w:fill="auto" w:val="clear"/>
        </w:rPr>
        <w:t xml:space="preserve">- </w:t>
      </w:r>
      <w:r>
        <w:rPr>
          <w:b w:val="false"/>
          <w:bCs w:val="false"/>
          <w:color w:val="000000"/>
          <w:shd w:fill="auto" w:val="clear"/>
        </w:rPr>
        <w:t xml:space="preserve">Switch tra fondi (cofinanziato - </w:t>
      </w:r>
      <w:r>
        <w:rPr>
          <w:b w:val="false"/>
          <w:bCs w:val="false"/>
          <w:i/>
          <w:iCs/>
          <w:color w:val="000000"/>
          <w:shd w:fill="auto" w:val="clear"/>
        </w:rPr>
        <w:t>top up</w:t>
      </w:r>
      <w:r>
        <w:rPr>
          <w:b w:val="false"/>
          <w:bCs w:val="false"/>
          <w:color w:val="000000"/>
          <w:shd w:fill="auto" w:val="clear"/>
        </w:rPr>
        <w:t>) all’interno delle misure M 8, M 10, M 11, M 13.</w:t>
      </w:r>
    </w:p>
    <w:p>
      <w:pPr>
        <w:pStyle w:val="Normal"/>
        <w:jc w:val="both"/>
        <w:rPr>
          <w:sz w:val="4"/>
          <w:szCs w:val="4"/>
        </w:rPr>
      </w:pPr>
      <w:r>
        <w:rPr>
          <w:sz w:val="4"/>
          <w:szCs w:val="4"/>
        </w:rPr>
      </w:r>
    </w:p>
    <w:p>
      <w:pPr>
        <w:pStyle w:val="Normal"/>
        <w:jc w:val="both"/>
        <w:rPr>
          <w:highlight w:val="none"/>
          <w:shd w:fill="auto" w:val="clear"/>
        </w:rPr>
      </w:pPr>
      <w:r>
        <w:rPr>
          <w:rFonts w:eastAsia="Times New Roman" w:cs="Tahoma"/>
          <w:color w:val="000000"/>
          <w:shd w:fill="auto" w:val="clear"/>
        </w:rPr>
        <w:t xml:space="preserve">Al fine di mantenere la medesima spesa pubblica complessiva, viene infine compensato, con l’inserimento di 2,5 M€ di </w:t>
      </w:r>
      <w:r>
        <w:rPr>
          <w:rFonts w:eastAsia="Times New Roman" w:cs="Tahoma"/>
          <w:i/>
          <w:iCs/>
          <w:color w:val="000000"/>
          <w:shd w:fill="auto" w:val="clear"/>
        </w:rPr>
        <w:t>top up</w:t>
      </w:r>
      <w:r>
        <w:rPr>
          <w:rFonts w:eastAsia="Times New Roman" w:cs="Tahoma"/>
          <w:color w:val="000000"/>
          <w:shd w:fill="auto" w:val="clear"/>
        </w:rPr>
        <w:t xml:space="preserve">, il gap di spesa pubblica cofinanziata (-2,5 M€) derivante dallo spostamento di quota FEASR tra misure con % di cofinanziamento diverse. </w:t>
      </w:r>
    </w:p>
    <w:p>
      <w:pPr>
        <w:pStyle w:val="Normal"/>
        <w:jc w:val="both"/>
        <w:rPr>
          <w:highlight w:val="none"/>
          <w:shd w:fill="FFFF00" w:val="clear"/>
        </w:rPr>
      </w:pPr>
      <w:r>
        <w:rPr>
          <w:shd w:fill="FFFF00" w:val="clear"/>
        </w:rPr>
      </w:r>
    </w:p>
    <w:p>
      <w:pPr>
        <w:pStyle w:val="Normal"/>
        <w:jc w:val="both"/>
        <w:rPr>
          <w:highlight w:val="none"/>
          <w:shd w:fill="auto" w:val="clear"/>
        </w:rPr>
      </w:pPr>
      <w:r>
        <w:rPr>
          <w:b/>
          <w:shd w:fill="auto" w:val="clear"/>
        </w:rPr>
        <w:t>Vengono di conseguenza modificati i capitoli 10 “Piano di finanziamento” e 12 “Finanziamento nazionale integrativo” del PSR, come da Allegato 2 “Modifiche finanziarie ai capitoli 10 e 12 del PSR” alla presente scheda modifiche.</w:t>
      </w:r>
    </w:p>
    <w:p>
      <w:pPr>
        <w:pStyle w:val="Normal"/>
        <w:jc w:val="both"/>
        <w:rPr>
          <w:highlight w:val="none"/>
          <w:shd w:fill="auto" w:val="clear"/>
        </w:rPr>
      </w:pPr>
      <w:r>
        <w:rPr>
          <w:b/>
          <w:shd w:fill="auto" w:val="clear"/>
        </w:rPr>
        <w:t>La tabella finanziaria con il dettaglio per misura, complessivamente risultante dalle modifiche, è riportata nell’Allegato 1 alla presente scheda modifiche.</w:t>
      </w:r>
    </w:p>
    <w:p>
      <w:pPr>
        <w:pStyle w:val="Heading2"/>
        <w:numPr>
          <w:ilvl w:val="1"/>
          <w:numId w:val="1"/>
        </w:numPr>
        <w:spacing w:before="250" w:after="122"/>
        <w:ind w:hanging="0" w:left="0"/>
        <w:jc w:val="both"/>
        <w:rPr/>
      </w:pPr>
      <w:r>
        <w:rPr>
          <w:rStyle w:val="Strong"/>
          <w:rFonts w:eastAsia="Calibri" w:ascii="Calibri" w:hAnsi="Calibri"/>
          <w:b/>
          <w:bCs/>
          <w:color w:val="000000"/>
          <w:sz w:val="22"/>
          <w:szCs w:val="22"/>
          <w:u w:val="none"/>
          <w:shd w:fill="FFFF00" w:val="clear"/>
        </w:rPr>
        <w:t>Gli aggiornamenti agli importi del Capitolo 13 “Elementi per la valutazione dell’aiuto di Stato” del PSR (misure che costituiscono regimi di aiuto ai sensi degli artt. 107, 108 e 109 del TFUE) sono riportati nell’Allegato 4 alla presente scheda modifiche.</w:t>
      </w:r>
    </w:p>
    <w:p>
      <w:pPr>
        <w:pStyle w:val="Normal"/>
        <w:rPr>
          <w:b/>
          <w:sz w:val="30"/>
          <w:szCs w:val="30"/>
        </w:rPr>
      </w:pPr>
      <w:r>
        <w:rPr/>
      </w:r>
    </w:p>
    <w:p>
      <w:pPr>
        <w:pStyle w:val="Normal"/>
        <w:rPr>
          <w:b/>
          <w:sz w:val="30"/>
          <w:szCs w:val="30"/>
        </w:rPr>
      </w:pPr>
      <w:r>
        <w:rPr/>
      </w:r>
    </w:p>
    <w:p>
      <w:pPr>
        <w:pStyle w:val="Normal"/>
        <w:rPr>
          <w:b/>
          <w:sz w:val="30"/>
          <w:szCs w:val="30"/>
        </w:rPr>
      </w:pPr>
      <w:r>
        <w:rPr>
          <w:b/>
          <w:sz w:val="30"/>
          <w:szCs w:val="30"/>
        </w:rPr>
        <w:t>Effetti previsti della modifica</w:t>
      </w:r>
    </w:p>
    <w:p>
      <w:pPr>
        <w:pStyle w:val="Normal"/>
        <w:jc w:val="both"/>
        <w:rPr/>
      </w:pPr>
      <w:r>
        <w:rPr/>
        <w:t>1) Utilizzare prioritariamente le risorse cofinanziate soggette al rischio di disimpegno, senza ridurre la dotazione finanziaria né l’ambizione del programma in termini di obiettivi.</w:t>
      </w:r>
    </w:p>
    <w:p>
      <w:pPr>
        <w:pStyle w:val="Normal"/>
        <w:jc w:val="both"/>
        <w:rPr/>
      </w:pPr>
      <w:r>
        <w:rPr/>
        <w:t xml:space="preserve">2) Dal momento che si sposta quota FEASR tra misure con % di cofinanziamento diverse, per mantenere la medesima spesa pubblica complessiva, anche alla </w:t>
      </w:r>
      <w:r>
        <w:rPr>
          <w:color w:val="auto"/>
        </w:rPr>
        <w:t xml:space="preserve">luce degli effettivi pagamenti al 31.03.2025, nel PSR vi saranno rispetto alla versione vigente (V. 17) ca. 2,5 M€ di fondi cofinanziati in meno e ca. 2,5 M€ di </w:t>
      </w:r>
      <w:r>
        <w:rPr>
          <w:i/>
          <w:iCs/>
          <w:color w:val="auto"/>
        </w:rPr>
        <w:t>top up</w:t>
      </w:r>
      <w:r>
        <w:rPr>
          <w:color w:val="auto"/>
        </w:rPr>
        <w:t xml:space="preserve"> in più.</w:t>
      </w:r>
    </w:p>
    <w:p>
      <w:pPr>
        <w:pStyle w:val="Normal"/>
        <w:rPr>
          <w:b/>
          <w:sz w:val="28"/>
          <w:szCs w:val="28"/>
        </w:rPr>
      </w:pPr>
      <w:r>
        <w:rPr>
          <w:b/>
          <w:sz w:val="28"/>
          <w:szCs w:val="28"/>
        </w:rPr>
        <w:t>Impatto della modifica sugli indicatori (eventuale necessità di adattamento della quantificazione degli indicatori)</w:t>
      </w:r>
    </w:p>
    <w:p>
      <w:pPr>
        <w:pStyle w:val="Normal"/>
        <w:numPr>
          <w:ilvl w:val="0"/>
          <w:numId w:val="2"/>
        </w:numPr>
        <w:jc w:val="both"/>
        <w:rPr>
          <w:b/>
          <w:bCs/>
          <w:highlight w:val="none"/>
          <w:shd w:fill="auto" w:val="clear"/>
        </w:rPr>
      </w:pPr>
      <w:r>
        <w:rPr>
          <w:b/>
          <w:bCs/>
          <w:color w:val="000000"/>
          <w:shd w:fill="auto" w:val="clear"/>
        </w:rPr>
        <w:t>Gli spostamenti tra misure implicano alcune limitate modifiche agli indicatori finanziari delle operazioni, riportate nell’Allegato 3 “Modifiche finanziarie ai capitoli 7 e 11 del PSR” alla presente scheda modifiche.</w:t>
      </w:r>
    </w:p>
    <w:p>
      <w:pPr>
        <w:pStyle w:val="Normal"/>
        <w:numPr>
          <w:ilvl w:val="0"/>
          <w:numId w:val="2"/>
        </w:numPr>
        <w:jc w:val="both"/>
        <w:rPr>
          <w:highlight w:val="none"/>
          <w:shd w:fill="auto" w:val="clear"/>
        </w:rPr>
      </w:pPr>
      <w:r>
        <w:rPr>
          <w:color w:val="000000"/>
          <w:shd w:fill="auto" w:val="clear"/>
        </w:rPr>
        <w:t>La maggior parte degli indicatori fisici di cui al capitolo 7 e 11 non viene modificata, in quanto si ritiene di poterli comunque raggiungere in maniera soddisfacente con le risorse restanti.</w:t>
      </w:r>
    </w:p>
    <w:p>
      <w:pPr>
        <w:pStyle w:val="Normal"/>
        <w:numPr>
          <w:ilvl w:val="0"/>
          <w:numId w:val="2"/>
        </w:numPr>
        <w:jc w:val="both"/>
        <w:rPr>
          <w:color w:val="auto"/>
          <w:highlight w:val="none"/>
          <w:shd w:fill="auto" w:val="clear"/>
        </w:rPr>
      </w:pPr>
      <w:r>
        <w:rPr>
          <w:color w:val="000000"/>
          <w:shd w:fill="auto" w:val="clear"/>
        </w:rPr>
        <w:t>Gli indicatori fisici modificati sono stati variati in maniera proporzionale ai cambiamenti delle dotazioni finanziarie, mentre gli indicatori finanziari sono stati allineati alle rispettive dotazioni risultanti dalla modifica.</w:t>
      </w:r>
    </w:p>
    <w:p>
      <w:pPr>
        <w:pStyle w:val="Normal"/>
        <w:rPr>
          <w:b/>
          <w:sz w:val="28"/>
          <w:szCs w:val="28"/>
          <w:highlight w:val="none"/>
          <w:shd w:fill="auto" w:val="clear"/>
        </w:rPr>
      </w:pPr>
      <w:r>
        <w:rPr>
          <w:b/>
          <w:sz w:val="28"/>
          <w:szCs w:val="28"/>
          <w:shd w:fill="auto" w:val="clear"/>
        </w:rPr>
      </w:r>
    </w:p>
    <w:p>
      <w:pPr>
        <w:pStyle w:val="Normal"/>
        <w:rPr>
          <w:b/>
          <w:sz w:val="28"/>
          <w:szCs w:val="28"/>
          <w:highlight w:val="none"/>
          <w:shd w:fill="auto" w:val="clear"/>
        </w:rPr>
      </w:pPr>
      <w:r>
        <w:rPr>
          <w:b/>
          <w:sz w:val="28"/>
          <w:szCs w:val="28"/>
          <w:shd w:fill="auto" w:val="clear"/>
        </w:rPr>
      </w:r>
    </w:p>
    <w:p>
      <w:pPr>
        <w:pStyle w:val="Normal"/>
        <w:rPr>
          <w:highlight w:val="none"/>
          <w:shd w:fill="auto" w:val="clear"/>
        </w:rPr>
      </w:pPr>
      <w:r>
        <w:rPr>
          <w:b/>
          <w:sz w:val="28"/>
          <w:szCs w:val="28"/>
          <w:shd w:fill="auto" w:val="clear"/>
        </w:rPr>
        <w:t>Rapporto tra la modifica e l’Accordo di Partenariato</w:t>
      </w:r>
    </w:p>
    <w:p>
      <w:pPr>
        <w:pStyle w:val="Normal"/>
        <w:widowControl/>
        <w:suppressAutoHyphens w:val="true"/>
        <w:bidi w:val="0"/>
        <w:spacing w:lineRule="auto" w:line="259" w:before="0" w:after="160"/>
        <w:jc w:val="left"/>
        <w:rPr>
          <w:highlight w:val="none"/>
          <w:shd w:fill="auto" w:val="clear"/>
        </w:rPr>
      </w:pPr>
      <w:r>
        <w:rPr>
          <w:shd w:fill="auto" w:val="clear"/>
        </w:rPr>
        <w:t>La modifica proposta tiene conto di quanto previsto nell’Accordo di partenariato.</w:t>
      </w:r>
    </w:p>
    <w:sectPr>
      <w:type w:val="nextPage"/>
      <w:pgSz w:w="11906" w:h="16838"/>
      <w:pgMar w:left="1134" w:right="1134" w:gutter="0" w:header="0" w:top="1417" w:footer="0" w:bottom="1134"/>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OpenSymbol">
    <w:altName w:val="Arial Unicode MS"/>
    <w:charset w:val="00"/>
    <w:family w:val="roman"/>
    <w:pitch w:val="variable"/>
  </w:font>
  <w:font w:name="Liberation Sans">
    <w:altName w:val="Arial"/>
    <w:charset w:val="00"/>
    <w:family w:val="roman"/>
    <w:pitch w:val="variable"/>
  </w:font>
  <w:font w:name="0">
    <w:charset w:val="00"/>
    <w:family w:val="roman"/>
    <w:pitch w:val="variable"/>
  </w:font>
  <w:font w:name="Arial">
    <w:charset w:val="00"/>
    <w:family w:val="roman"/>
    <w:pitch w:val="variable"/>
  </w:font>
  <w:font w:name="Calibri-Bold">
    <w:charset w:val="00"/>
    <w:family w:val="roman"/>
    <w:pitch w:val="variable"/>
  </w:font>
  <w:font w:name="OpenSymbol">
    <w:altName w:val="Arial Unicode M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80"/>
  <w:defaultTabStop w:val="708"/>
  <w:autoHyphenation w:val="true"/>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ahoma"/>
        <w:sz w:val="22"/>
        <w:szCs w:val="22"/>
        <w:lang w:val="it-IT" w:eastAsia="en-US" w:bidi="ar-SA"/>
      </w:rPr>
    </w:rPrDefault>
    <w:pPrDefault>
      <w:pPr>
        <w:suppressAutoHyphens w:val="true"/>
      </w:pPr>
    </w:pPrDefault>
  </w:docDefaults>
  <w:style w:type="paragraph" w:styleId="Normal">
    <w:name w:val="Normal"/>
    <w:qFormat/>
    <w:pPr>
      <w:widowControl/>
      <w:suppressAutoHyphens w:val="true"/>
      <w:overflowPunct w:val="true"/>
      <w:bidi w:val="0"/>
      <w:spacing w:lineRule="auto" w:line="259" w:before="0" w:after="160"/>
      <w:jc w:val="left"/>
    </w:pPr>
    <w:rPr>
      <w:rFonts w:ascii="Calibri" w:hAnsi="Calibri" w:eastAsia="Calibri" w:cs="Tahoma"/>
      <w:color w:val="auto"/>
      <w:kern w:val="0"/>
      <w:sz w:val="22"/>
      <w:szCs w:val="22"/>
      <w:lang w:val="it-IT" w:eastAsia="en-US" w:bidi="ar-SA"/>
    </w:rPr>
  </w:style>
  <w:style w:type="paragraph" w:styleId="Heading2">
    <w:name w:val="Heading 2"/>
    <w:basedOn w:val="Title"/>
    <w:next w:val="BodyText"/>
    <w:qFormat/>
    <w:pPr>
      <w:numPr>
        <w:ilvl w:val="1"/>
        <w:numId w:val="1"/>
      </w:numPr>
      <w:spacing w:before="200" w:after="120"/>
      <w:outlineLvl w:val="1"/>
    </w:pPr>
    <w:rPr>
      <w:b/>
      <w:bCs/>
      <w:sz w:val="32"/>
      <w:szCs w:val="32"/>
    </w:rPr>
  </w:style>
  <w:style w:type="character" w:styleId="DefaultParagraphFont">
    <w:name w:val="Default Paragraph Font"/>
    <w:qFormat/>
    <w:rPr/>
  </w:style>
  <w:style w:type="character" w:styleId="Strong">
    <w:name w:val="Strong"/>
    <w:qFormat/>
    <w:rPr>
      <w:b/>
      <w:bCs/>
    </w:rPr>
  </w:style>
  <w:style w:type="character" w:styleId="Caratterinotaapidipagina">
    <w:name w:val="Caratteri nota a piè di pagina"/>
    <w:qFormat/>
    <w:rPr>
      <w:vertAlign w:val="superscript"/>
    </w:rPr>
  </w:style>
  <w:style w:type="character" w:styleId="FootnoteReference">
    <w:name w:val="Footnote Reference"/>
    <w:rPr>
      <w:vertAlign w:val="superscript"/>
    </w:rPr>
  </w:style>
  <w:style w:type="character" w:styleId="Caratterinotadichiusura">
    <w:name w:val="Caratteri nota di chiusura"/>
    <w:qFormat/>
    <w:rPr>
      <w:vertAlign w:val="superscript"/>
    </w:rPr>
  </w:style>
  <w:style w:type="character" w:styleId="EndnoteReference">
    <w:name w:val="Endnote Reference"/>
    <w:rPr>
      <w:vertAlign w:val="superscript"/>
    </w:rPr>
  </w:style>
  <w:style w:type="character" w:styleId="A0">
    <w:name w:val="A0"/>
    <w:qFormat/>
    <w:rPr>
      <w:sz w:val="22"/>
    </w:rPr>
  </w:style>
  <w:style w:type="character" w:styleId="Punti">
    <w:name w:val="Punti"/>
    <w:qFormat/>
    <w:rPr>
      <w:rFonts w:ascii="OpenSymbol" w:hAnsi="OpenSymbol" w:eastAsia="OpenSymbol" w:cs="OpenSymbol"/>
    </w:rPr>
  </w:style>
  <w:style w:type="paragraph" w:styleId="Titolo">
    <w:name w:val="Titolo"/>
    <w:basedOn w:val="Normal"/>
    <w:next w:val="BodyText"/>
    <w:qFormat/>
    <w:pPr>
      <w:keepNext w:val="true"/>
      <w:spacing w:before="240" w:after="120"/>
    </w:pPr>
    <w:rPr>
      <w:rFonts w:ascii="Liberation Sans" w:hAnsi="Liberation Sans" w:eastAsia="Microsoft YaHei" w:cs="Mang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ice">
    <w:name w:val="Indice"/>
    <w:basedOn w:val="Normal"/>
    <w:qFormat/>
    <w:pPr>
      <w:suppressLineNumbers/>
    </w:pPr>
    <w:rPr>
      <w:rFonts w:cs="Mangal"/>
    </w:rPr>
  </w:style>
  <w:style w:type="paragraph" w:styleId="Title">
    <w:name w:val="Title"/>
    <w:basedOn w:val="Normal"/>
    <w:next w:val="BodyText"/>
    <w:qFormat/>
    <w:pPr>
      <w:keepNext w:val="true"/>
      <w:spacing w:before="240" w:after="120"/>
    </w:pPr>
    <w:rPr>
      <w:rFonts w:ascii="Liberation Sans" w:hAnsi="Liberation Sans" w:eastAsia="Microsoft YaHei" w:cs="Mangal"/>
      <w:sz w:val="28"/>
      <w:szCs w:val="28"/>
    </w:rPr>
  </w:style>
  <w:style w:type="paragraph" w:styleId="Caption1">
    <w:name w:val="caption1"/>
    <w:basedOn w:val="Normal"/>
    <w:qFormat/>
    <w:pPr>
      <w:suppressLineNumbers/>
      <w:spacing w:before="120" w:after="120"/>
    </w:pPr>
    <w:rPr>
      <w:rFonts w:cs="Mangal"/>
      <w:i/>
      <w:iCs/>
      <w:sz w:val="24"/>
      <w:szCs w:val="24"/>
    </w:rPr>
  </w:style>
  <w:style w:type="paragraph" w:styleId="Contenutotabella">
    <w:name w:val="Contenuto tabella"/>
    <w:basedOn w:val="Normal"/>
    <w:qFormat/>
    <w:pPr>
      <w:widowControl w:val="false"/>
      <w:suppressLineNumbers/>
    </w:pPr>
    <w:rPr/>
  </w:style>
  <w:style w:type="paragraph" w:styleId="Titolotabella">
    <w:name w:val="Titolo tabella"/>
    <w:basedOn w:val="Contenutotabella"/>
    <w:qFormat/>
    <w:pPr>
      <w:jc w:val="center"/>
    </w:pPr>
    <w:rPr>
      <w:b/>
      <w:bCs/>
    </w:rPr>
  </w:style>
  <w:style w:type="paragraph" w:styleId="Contenutocornice">
    <w:name w:val="Contenuto cornice"/>
    <w:basedOn w:val="Normal"/>
    <w:qFormat/>
    <w:pPr/>
    <w:rPr/>
  </w:style>
  <w:style w:type="paragraph" w:styleId="FootnoteText">
    <w:name w:val="Footnote Text"/>
    <w:basedOn w:val="Normal"/>
    <w:pPr>
      <w:suppressLineNumbers/>
      <w:ind w:hanging="339" w:left="339" w:right="0"/>
    </w:pPr>
    <w:rPr>
      <w:sz w:val="20"/>
      <w:szCs w:val="20"/>
    </w:rPr>
  </w:style>
  <w:style w:type="paragraph" w:styleId="ListParagraph">
    <w:name w:val="List Paragraph"/>
    <w:basedOn w:val="Normal"/>
    <w:qFormat/>
    <w:pPr>
      <w:ind w:hanging="0" w:left="720" w:right="0"/>
    </w:pPr>
    <w:rPr>
      <w:rFonts w:ascii="Calibri" w:hAnsi="Calibri" w:eastAsia="Calibri"/>
      <w:sz w:val="22"/>
      <w:szCs w:val="22"/>
    </w:rPr>
  </w:style>
  <w:style w:type="paragraph" w:styleId="Paragrafoelenco">
    <w:name w:val="Paragrafo elenco"/>
    <w:basedOn w:val="Normal"/>
    <w:qFormat/>
    <w:pPr>
      <w:spacing w:lineRule="auto" w:line="240" w:before="0" w:after="0"/>
      <w:ind w:hanging="0" w:left="720" w:right="0"/>
      <w:contextualSpacing/>
    </w:pPr>
    <w:rPr>
      <w:rFonts w:ascii="Times New Roman" w:hAnsi="Times New Roman" w:eastAsia="Times New Roman" w:cs="Times New Roman"/>
      <w:sz w:val="24"/>
      <w:szCs w:val="24"/>
    </w:rPr>
  </w:style>
  <w:style w:type="paragraph" w:styleId="Default">
    <w:name w:val="Default"/>
    <w:qFormat/>
    <w:pPr>
      <w:widowControl/>
      <w:suppressAutoHyphens w:val="true"/>
      <w:bidi w:val="0"/>
      <w:spacing w:before="0" w:after="0"/>
      <w:jc w:val="left"/>
    </w:pPr>
    <w:rPr>
      <w:rFonts w:ascii="0" w:hAnsi="0" w:eastAsia="Calibri" w:cs="Tahoma"/>
      <w:color w:val="000000"/>
      <w:kern w:val="0"/>
      <w:sz w:val="24"/>
      <w:szCs w:val="22"/>
      <w:lang w:val="it-IT" w:eastAsia="en-US" w:bidi="ar-SA"/>
    </w:rPr>
  </w:style>
  <w:style w:type="numbering" w:styleId="NoList">
    <w:name w:val="No List"/>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image" Target="media/image3.png"/><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1300</TotalTime>
  <Application>LibreOffice/7.6.6.3$Windows_X86_64 LibreOffice_project/d97b2716a9a4a2ce1391dee1765565ea469b0ae7</Application>
  <AppVersion>15.0000</AppVersion>
  <Pages>6</Pages>
  <Words>1335</Words>
  <Characters>7663</Characters>
  <CharactersWithSpaces>8959</CharactersWithSpaces>
  <Paragraphs>61</Paragraphs>
  <Company>CSI Piemonte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2025-03-31T15:07:00Z</dcterms:created>
  <dc:creator>IRENE ALICE ELENA VENTURELLO</dc:creator>
  <dc:description/>
  <dc:language>it-IT</dc:language>
  <cp:lastModifiedBy/>
  <cp:lastPrinted>2025-01-17T12:00:39Z</cp:lastPrinted>
  <dcterms:modified xsi:type="dcterms:W3CDTF">2025-07-30T12:07:07Z</dcterms:modified>
  <cp:revision>268</cp:revision>
  <dc:subject/>
  <dc:title/>
</cp:coreProperties>
</file>

<file path=docProps/custom.xml><?xml version="1.0" encoding="utf-8"?>
<Properties xmlns="http://schemas.openxmlformats.org/officeDocument/2006/custom-properties" xmlns:vt="http://schemas.openxmlformats.org/officeDocument/2006/docPropsVTypes"/>
</file>